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94424E" w:rsidP="00D44968">
            <w:pPr>
              <w:suppressLineNumbers/>
              <w:jc w:val="both"/>
              <w:rPr>
                <w:rFonts w:ascii="Arial" w:hAnsi="Arial"/>
                <w:b/>
                <w:bCs/>
                <w:sz w:val="26"/>
                <w:szCs w:val="26"/>
                <w:rtl/>
              </w:rPr>
            </w:pPr>
            <w:bookmarkStart w:id="0" w:name="_GoBack"/>
            <w:bookmarkEnd w:id="0"/>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אליעד וינשל</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sdt>
            <w:sdtPr>
              <w:rPr>
                <w:rtl/>
              </w:rPr>
              <w:alias w:val="1180"/>
              <w:tag w:val="1180"/>
              <w:id w:val="637458750"/>
              <w:text w:multiLine="1"/>
            </w:sdtPr>
            <w:sdtEndPr/>
            <w:sdtContent>
              <w:p w:rsidR="00063B08" w:rsidRDefault="00413A8E">
                <w:pPr>
                  <w:suppressLineNumbers/>
                  <w:rPr>
                    <w:rFonts w:ascii="Arial" w:hAnsi="Arial"/>
                    <w:b/>
                    <w:bCs/>
                    <w:noProof w:val="0"/>
                    <w:sz w:val="26"/>
                    <w:szCs w:val="26"/>
                    <w:rtl/>
                  </w:rPr>
                </w:pPr>
                <w:r>
                  <w:rPr>
                    <w:rFonts w:ascii="Arial" w:hAnsi="Arial"/>
                    <w:b/>
                    <w:bCs/>
                    <w:noProof w:val="0"/>
                    <w:sz w:val="26"/>
                    <w:szCs w:val="26"/>
                    <w:rtl/>
                  </w:rPr>
                  <w:t>תובע</w:t>
                </w:r>
              </w:p>
            </w:sdtContent>
          </w:sdt>
        </w:tc>
        <w:tc>
          <w:tcPr>
            <w:tcW w:w="5571" w:type="dxa"/>
          </w:tcPr>
          <w:p w:rsidR="00413A8E" w:rsidRDefault="00FF1D93" w:rsidP="007C2453">
            <w:pPr>
              <w:suppressLineNumbers/>
              <w:rPr>
                <w:rtl/>
              </w:rPr>
            </w:pP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B859C5">
                  <w:rPr>
                    <w:rFonts w:ascii="Arial" w:hAnsi="Arial" w:hint="eastAsia"/>
                    <w:b/>
                    <w:bCs/>
                    <w:noProof w:val="0"/>
                    <w:sz w:val="26"/>
                    <w:szCs w:val="26"/>
                    <w:rtl/>
                  </w:rPr>
                  <w:t>פלוני</w:t>
                </w:r>
              </w:sdtContent>
            </w:sdt>
            <w:r w:rsidR="00B859C5">
              <w:rPr>
                <w:rFonts w:hint="cs"/>
                <w:rtl/>
              </w:rPr>
              <w:t xml:space="preserve"> </w:t>
            </w:r>
          </w:p>
          <w:p w:rsidR="0094424E" w:rsidRDefault="00413A8E" w:rsidP="007C2453">
            <w:pPr>
              <w:suppressLineNumbers/>
              <w:rPr>
                <w:b/>
                <w:bCs/>
                <w:noProof w:val="0"/>
                <w:sz w:val="26"/>
                <w:szCs w:val="26"/>
              </w:rPr>
            </w:pPr>
            <w:r>
              <w:rPr>
                <w:rFonts w:ascii="Arial" w:hAnsi="Arial"/>
                <w:b/>
                <w:bCs/>
                <w:noProof w:val="0"/>
                <w:sz w:val="26"/>
                <w:szCs w:val="26"/>
                <w:rtl/>
              </w:rPr>
              <w:t>ע"י ב"כ עו</w:t>
            </w:r>
            <w:r w:rsidR="00B859C5">
              <w:rPr>
                <w:rFonts w:ascii="Arial" w:hAnsi="Arial"/>
                <w:b/>
                <w:bCs/>
                <w:noProof w:val="0"/>
                <w:sz w:val="26"/>
                <w:szCs w:val="26"/>
                <w:rtl/>
              </w:rPr>
              <w:t>"ד</w:t>
            </w:r>
            <w:r>
              <w:rPr>
                <w:rFonts w:hint="cs"/>
                <w:b/>
                <w:bCs/>
                <w:noProof w:val="0"/>
                <w:sz w:val="26"/>
                <w:szCs w:val="26"/>
                <w:rtl/>
              </w:rPr>
              <w:t xml:space="preserve"> עמוס פריד</w:t>
            </w:r>
          </w:p>
        </w:tc>
      </w:tr>
      <w:tr w:rsidR="0094424E">
        <w:trPr>
          <w:jc w:val="center"/>
        </w:trPr>
        <w:tc>
          <w:tcPr>
            <w:tcW w:w="8820" w:type="dxa"/>
            <w:gridSpan w:val="3"/>
          </w:tcPr>
          <w:p w:rsidR="0094424E" w:rsidRPr="00413A8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FF1D93" w:rsidP="009E461A">
            <w:pPr>
              <w:suppressLineNumbers/>
              <w:rPr>
                <w:rFonts w:ascii="Arial" w:hAnsi="Arial"/>
                <w:b/>
                <w:bCs/>
                <w:noProof w:val="0"/>
                <w:sz w:val="26"/>
                <w:szCs w:val="26"/>
              </w:rPr>
            </w:pPr>
            <w:sdt>
              <w:sdtPr>
                <w:rPr>
                  <w:rtl/>
                </w:rPr>
                <w:alias w:val="1184"/>
                <w:tag w:val="1184"/>
                <w:id w:val="-340621022"/>
                <w:text w:multiLine="1"/>
              </w:sdtPr>
              <w:sdtEndPr/>
              <w:sdtContent>
                <w:r w:rsidR="00B859C5">
                  <w:rPr>
                    <w:rFonts w:ascii="Arial" w:hAnsi="Arial"/>
                    <w:b/>
                    <w:bCs/>
                    <w:noProof w:val="0"/>
                    <w:sz w:val="26"/>
                    <w:szCs w:val="26"/>
                    <w:rtl/>
                  </w:rPr>
                  <w:t>נתבעים</w:t>
                </w:r>
              </w:sdtContent>
            </w:sdt>
          </w:p>
        </w:tc>
        <w:tc>
          <w:tcPr>
            <w:tcW w:w="5571" w:type="dxa"/>
          </w:tcPr>
          <w:p w:rsidR="00CF6BB7" w:rsidRPr="009E461A" w:rsidRDefault="00FF1D93" w:rsidP="00413A8E">
            <w:pPr>
              <w:suppressLineNumbers/>
              <w:rPr>
                <w:rtl/>
              </w:rPr>
            </w:pPr>
            <w:sdt>
              <w:sdtPr>
                <w:rPr>
                  <w:rtl/>
                </w:rPr>
                <w:alias w:val="1571"/>
                <w:tag w:val="1571"/>
                <w:id w:val="1028836282"/>
                <w:text w:multiLine="1"/>
              </w:sdtPr>
              <w:sdtEndPr/>
              <w:sdtContent>
                <w:r w:rsidR="00B859C5">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13A8E">
                  <w:rPr>
                    <w:rFonts w:ascii="Arial" w:hAnsi="Arial" w:hint="cs"/>
                    <w:b/>
                    <w:bCs/>
                    <w:noProof w:val="0"/>
                    <w:sz w:val="26"/>
                    <w:szCs w:val="26"/>
                    <w:rtl/>
                  </w:rPr>
                  <w:t>פלוני</w:t>
                </w:r>
              </w:sdtContent>
            </w:sdt>
          </w:p>
          <w:p w:rsidR="00CF6BB7" w:rsidRPr="009E461A" w:rsidRDefault="00FF1D93" w:rsidP="00413A8E">
            <w:pPr>
              <w:suppressLineNumbers/>
              <w:rPr>
                <w:rtl/>
              </w:rPr>
            </w:pPr>
            <w:sdt>
              <w:sdtPr>
                <w:rPr>
                  <w:rtl/>
                </w:rPr>
                <w:alias w:val="1571"/>
                <w:tag w:val="1571"/>
                <w:id w:val="-1911217805"/>
                <w:text w:multiLine="1"/>
              </w:sdtPr>
              <w:sdtEndPr/>
              <w:sdtContent>
                <w:r w:rsidR="00B859C5">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814417735"/>
                <w:placeholder>
                  <w:docPart w:val="C3B0FBA23B684176B12DDEEA2C39785F"/>
                </w:placeholder>
                <w:text w:multiLine="1"/>
              </w:sdtPr>
              <w:sdtEndPr/>
              <w:sdtContent>
                <w:r w:rsidR="00413A8E">
                  <w:rPr>
                    <w:rFonts w:ascii="Arial" w:hAnsi="Arial" w:hint="cs"/>
                    <w:b/>
                    <w:bCs/>
                    <w:noProof w:val="0"/>
                    <w:sz w:val="26"/>
                    <w:szCs w:val="26"/>
                    <w:rtl/>
                  </w:rPr>
                  <w:t>פלוני</w:t>
                </w:r>
              </w:sdtContent>
            </w:sdt>
          </w:p>
          <w:p w:rsidR="00413A8E" w:rsidRDefault="00FF1D93" w:rsidP="00413A8E">
            <w:pPr>
              <w:suppressLineNumbers/>
              <w:rPr>
                <w:rFonts w:ascii="Arial" w:hAnsi="Arial"/>
                <w:b/>
                <w:bCs/>
                <w:noProof w:val="0"/>
                <w:sz w:val="26"/>
                <w:szCs w:val="26"/>
                <w:rtl/>
              </w:rPr>
            </w:pPr>
            <w:sdt>
              <w:sdtPr>
                <w:rPr>
                  <w:rtl/>
                </w:rPr>
                <w:alias w:val="1571"/>
                <w:tag w:val="1571"/>
                <w:id w:val="922068328"/>
                <w:text w:multiLine="1"/>
              </w:sdtPr>
              <w:sdtEndPr/>
              <w:sdtContent>
                <w:r w:rsidR="00B859C5">
                  <w:rPr>
                    <w:rFonts w:ascii="Arial" w:hAnsi="Arial"/>
                    <w:b/>
                    <w:bCs/>
                    <w:noProof w:val="0"/>
                    <w:sz w:val="26"/>
                    <w:szCs w:val="26"/>
                    <w:rtl/>
                  </w:rPr>
                  <w:t>3</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370495357"/>
                <w:placeholder>
                  <w:docPart w:val="C3B0FBA23B684176B12DDEEA2C39785F"/>
                </w:placeholder>
                <w:text w:multiLine="1"/>
              </w:sdtPr>
              <w:sdtEndPr/>
              <w:sdtContent>
                <w:r w:rsidR="00413A8E">
                  <w:rPr>
                    <w:rFonts w:ascii="Arial" w:hAnsi="Arial" w:hint="cs"/>
                    <w:b/>
                    <w:bCs/>
                    <w:noProof w:val="0"/>
                    <w:sz w:val="26"/>
                    <w:szCs w:val="26"/>
                    <w:rtl/>
                  </w:rPr>
                  <w:t>פלונית</w:t>
                </w:r>
              </w:sdtContent>
            </w:sdt>
            <w:r w:rsidR="00413A8E">
              <w:rPr>
                <w:rFonts w:ascii="Arial" w:hAnsi="Arial" w:hint="cs"/>
                <w:b/>
                <w:bCs/>
                <w:noProof w:val="0"/>
                <w:sz w:val="26"/>
                <w:szCs w:val="26"/>
                <w:rtl/>
              </w:rPr>
              <w:t xml:space="preserve"> </w:t>
            </w:r>
          </w:p>
          <w:p w:rsidR="00413A8E" w:rsidRDefault="00413A8E" w:rsidP="00413A8E">
            <w:pPr>
              <w:suppressLineNumbers/>
              <w:rPr>
                <w:rtl/>
              </w:rPr>
            </w:pPr>
            <w:r>
              <w:rPr>
                <w:rFonts w:ascii="Arial" w:hAnsi="Arial"/>
                <w:b/>
                <w:bCs/>
                <w:noProof w:val="0"/>
                <w:sz w:val="26"/>
                <w:szCs w:val="26"/>
                <w:rtl/>
              </w:rPr>
              <w:t>ע"י ב"כ עו</w:t>
            </w:r>
            <w:r>
              <w:rPr>
                <w:rFonts w:ascii="Arial" w:hAnsi="Arial" w:hint="cs"/>
                <w:b/>
                <w:bCs/>
                <w:noProof w:val="0"/>
                <w:sz w:val="26"/>
                <w:szCs w:val="26"/>
                <w:rtl/>
              </w:rPr>
              <w:t>"ד מיכאל אלנתן</w:t>
            </w:r>
          </w:p>
          <w:p w:rsidR="00413A8E" w:rsidRDefault="00FF1D93" w:rsidP="00413A8E">
            <w:pPr>
              <w:suppressLineNumbers/>
              <w:rPr>
                <w:rFonts w:ascii="Arial" w:hAnsi="Arial"/>
                <w:b/>
                <w:bCs/>
                <w:noProof w:val="0"/>
                <w:sz w:val="26"/>
                <w:szCs w:val="26"/>
                <w:rtl/>
              </w:rPr>
            </w:pPr>
            <w:sdt>
              <w:sdtPr>
                <w:rPr>
                  <w:rtl/>
                </w:rPr>
                <w:alias w:val="1571"/>
                <w:tag w:val="1571"/>
                <w:id w:val="-1403512667"/>
                <w:text w:multiLine="1"/>
              </w:sdtPr>
              <w:sdtEndPr/>
              <w:sdtContent>
                <w:r w:rsidR="00B859C5">
                  <w:rPr>
                    <w:rFonts w:ascii="Arial" w:hAnsi="Arial"/>
                    <w:b/>
                    <w:bCs/>
                    <w:noProof w:val="0"/>
                    <w:sz w:val="26"/>
                    <w:szCs w:val="26"/>
                    <w:rtl/>
                  </w:rPr>
                  <w:t>4</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55444810"/>
                <w:placeholder>
                  <w:docPart w:val="C3B0FBA23B684176B12DDEEA2C39785F"/>
                </w:placeholder>
                <w:text w:multiLine="1"/>
              </w:sdtPr>
              <w:sdtEndPr/>
              <w:sdtContent>
                <w:r w:rsidR="00B859C5">
                  <w:rPr>
                    <w:rFonts w:ascii="Arial" w:hAnsi="Arial" w:hint="eastAsia"/>
                    <w:b/>
                    <w:bCs/>
                    <w:noProof w:val="0"/>
                    <w:sz w:val="26"/>
                    <w:szCs w:val="26"/>
                    <w:rtl/>
                  </w:rPr>
                  <w:t>איילון חברה לביטוח בע"מ</w:t>
                </w:r>
              </w:sdtContent>
            </w:sdt>
            <w:r w:rsidR="00B859C5">
              <w:rPr>
                <w:rFonts w:hint="cs"/>
                <w:rtl/>
              </w:rPr>
              <w:t xml:space="preserve"> </w:t>
            </w:r>
          </w:p>
          <w:p w:rsidR="00CF6BB7" w:rsidRPr="009E461A" w:rsidRDefault="00413A8E" w:rsidP="00413A8E">
            <w:pPr>
              <w:suppressLineNumbers/>
              <w:rPr>
                <w:rtl/>
              </w:rPr>
            </w:pPr>
            <w:r>
              <w:rPr>
                <w:rFonts w:ascii="Arial" w:hAnsi="Arial"/>
                <w:b/>
                <w:bCs/>
                <w:noProof w:val="0"/>
                <w:sz w:val="26"/>
                <w:szCs w:val="26"/>
                <w:rtl/>
              </w:rPr>
              <w:t>ע"י ב"כ עו</w:t>
            </w:r>
            <w:r>
              <w:rPr>
                <w:rFonts w:ascii="Arial" w:hAnsi="Arial" w:hint="cs"/>
                <w:b/>
                <w:bCs/>
                <w:noProof w:val="0"/>
                <w:sz w:val="26"/>
                <w:szCs w:val="26"/>
                <w:rtl/>
              </w:rPr>
              <w:t>"</w:t>
            </w:r>
            <w:r w:rsidR="00B859C5">
              <w:rPr>
                <w:rFonts w:ascii="Arial" w:hAnsi="Arial"/>
                <w:b/>
                <w:bCs/>
                <w:noProof w:val="0"/>
                <w:sz w:val="26"/>
                <w:szCs w:val="26"/>
                <w:rtl/>
              </w:rPr>
              <w:t>ד</w:t>
            </w:r>
            <w:r>
              <w:rPr>
                <w:rFonts w:ascii="Arial" w:hAnsi="Arial" w:hint="cs"/>
                <w:b/>
                <w:bCs/>
                <w:noProof w:val="0"/>
                <w:sz w:val="26"/>
                <w:szCs w:val="26"/>
                <w:rtl/>
              </w:rPr>
              <w:t xml:space="preserve"> גיא כהן</w:t>
            </w: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063B08" w:rsidRDefault="00063B08">
            <w:pPr>
              <w:suppressLineNumbers/>
              <w:rPr>
                <w:rFonts w:ascii="Arial" w:hAnsi="Arial"/>
                <w:b/>
                <w:bCs/>
                <w:noProof w:val="0"/>
                <w:sz w:val="26"/>
                <w:szCs w:val="26"/>
                <w:rtl/>
              </w:rPr>
            </w:pPr>
          </w:p>
        </w:tc>
      </w:tr>
      <w:tr w:rsidR="00694556" w:rsidRPr="00DE1E7D">
        <w:trPr>
          <w:jc w:val="center"/>
        </w:trPr>
        <w:tc>
          <w:tcPr>
            <w:tcW w:w="8820" w:type="dxa"/>
            <w:gridSpan w:val="3"/>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4C3D00" w:rsidRDefault="004C3D00" w:rsidP="004C3D00">
      <w:pPr>
        <w:spacing w:after="80" w:line="360" w:lineRule="auto"/>
        <w:jc w:val="both"/>
        <w:rPr>
          <w:rFonts w:ascii="FrankRuehl" w:hAnsi="FrankRuehl" w:cs="FrankRuehl"/>
          <w:noProof w:val="0"/>
          <w:sz w:val="28"/>
          <w:szCs w:val="28"/>
        </w:rPr>
      </w:pPr>
      <w:bookmarkStart w:id="1" w:name="NGCSBookmark"/>
      <w:bookmarkEnd w:id="1"/>
      <w:r>
        <w:rPr>
          <w:rFonts w:ascii="FrankRuehl" w:hAnsi="FrankRuehl" w:cs="FrankRuehl"/>
          <w:sz w:val="28"/>
          <w:szCs w:val="28"/>
          <w:rtl/>
        </w:rPr>
        <w:t xml:space="preserve">חבורת נערים בני 17 יושבים במרתף ביתו של אחד מהם. אחד מהנערים חי בארצות הברית ושוהה בארץ בביקור והשיחה מתנהלת באנגלית. בסופה של השיחה, אשר גלשה להערות פוגעניות, נפגע התובע מרגלו של הנתבע 1 (להלן: הנתבע). אין מחלוקת כי נגרמה חבלה משמעותית בפנים (שבר באף שחייב בהמשך ניתוח) ולטענת התובע נגרמה גם נכות צמיתה בעמוד השדרה הצווארי. </w:t>
      </w:r>
    </w:p>
    <w:p w:rsidR="004C3D00" w:rsidRDefault="004C3D00" w:rsidP="004C3D00">
      <w:pPr>
        <w:spacing w:after="80" w:line="360" w:lineRule="auto"/>
        <w:jc w:val="both"/>
        <w:rPr>
          <w:rFonts w:ascii="FrankRuehl" w:hAnsi="FrankRuehl" w:cs="FrankRuehl"/>
          <w:sz w:val="28"/>
          <w:szCs w:val="28"/>
          <w:rtl/>
        </w:rPr>
      </w:pPr>
      <w:r>
        <w:rPr>
          <w:rFonts w:ascii="FrankRuehl" w:hAnsi="FrankRuehl" w:cs="FrankRuehl"/>
          <w:sz w:val="28"/>
          <w:szCs w:val="28"/>
          <w:rtl/>
        </w:rPr>
        <w:t xml:space="preserve">עשור חלף מהאירוע וכעת נדרשת הכרעה בתביעת התובע לתשלום נזקיו. תחילה יש להידרש למחלוקת העובדתית והמשפטית באשר לאירוע ובמסגרת זו להכרעה האם מדובר בתקיפה מכוונת, הגנה עצמית או רשלנות. כפועל יוצא מכך יש לקבוע האם חב הנתבע בנזיקין. כנגזרת מכך יש לדון בחובת הנתבעת 2 (המבטחת), אשר תחול במקרה בו מדובר "באירוע תאונתי". באשר לסוגיית הנזק עולה שאלה מורכבת באשר לקשר הסיבתי בין אירוע התקיפה ובין נכות צמיתה בעמוד השדרה הצווארי בגובה 5%. </w:t>
      </w:r>
    </w:p>
    <w:p w:rsidR="004C3D00" w:rsidRDefault="004C3D00" w:rsidP="004C3D00">
      <w:pPr>
        <w:spacing w:after="80" w:line="360" w:lineRule="auto"/>
        <w:jc w:val="both"/>
        <w:rPr>
          <w:rFonts w:ascii="FrankRuehl" w:hAnsi="FrankRuehl" w:cs="FrankRuehl"/>
          <w:b/>
          <w:bCs/>
          <w:sz w:val="28"/>
          <w:szCs w:val="28"/>
          <w:u w:val="single"/>
          <w:rtl/>
        </w:rPr>
      </w:pPr>
      <w:r>
        <w:rPr>
          <w:rFonts w:ascii="FrankRuehl" w:hAnsi="FrankRuehl" w:cs="FrankRuehl"/>
          <w:b/>
          <w:bCs/>
          <w:sz w:val="28"/>
          <w:szCs w:val="28"/>
          <w:u w:val="single"/>
          <w:rtl/>
        </w:rPr>
        <w:t>סוגיית החבות</w:t>
      </w:r>
    </w:p>
    <w:p w:rsidR="004C3D00" w:rsidRPr="004C3D00" w:rsidRDefault="004C3D00" w:rsidP="004C3D00">
      <w:pPr>
        <w:spacing w:after="80" w:line="360" w:lineRule="auto"/>
        <w:jc w:val="both"/>
        <w:rPr>
          <w:rFonts w:ascii="FrankRuehl" w:hAnsi="FrankRuehl" w:cs="FrankRuehl"/>
          <w:sz w:val="28"/>
          <w:szCs w:val="28"/>
          <w:u w:val="single"/>
          <w:rtl/>
        </w:rPr>
      </w:pPr>
      <w:r w:rsidRPr="004C3D00">
        <w:rPr>
          <w:rFonts w:ascii="FrankRuehl" w:hAnsi="FrankRuehl" w:cs="FrankRuehl"/>
          <w:sz w:val="28"/>
          <w:szCs w:val="28"/>
          <w:u w:val="single"/>
          <w:rtl/>
        </w:rPr>
        <w:t>רקע ותמצית העובדות הדרושות להכרעה והסוגיות שבמחלוקת</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tl/>
        </w:rPr>
      </w:pPr>
      <w:r>
        <w:rPr>
          <w:rFonts w:ascii="FrankRuehl" w:hAnsi="FrankRuehl" w:cs="FrankRuehl"/>
          <w:sz w:val="28"/>
          <w:szCs w:val="28"/>
          <w:rtl/>
        </w:rPr>
        <w:t>התובע, תושב ואזרח ארצות הברית, הגיע לארץ בקיץ שנת 2012 לתקופת התנדבות ולימודים. במהלך אחד מסופי השבוע נסעו התובע וחברו ואהרון להתארח בביתו של חבר בשם אדם ביישוב באזור המרכז. בערב השבת פגשו השלושה מחוץ לבית הכנסת חבר נוסף של אדם, הוא הנתבע. מאוחר יותר באותו לילה בילו הארבעה בפארק ציבורי.</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lastRenderedPageBreak/>
        <w:t xml:space="preserve">למחרת בשעות אחר הצהריים בילתה החבורה יחד בביתם של חבריו של אדם ולאחר מכן הלכו לביתו של חבר נוסף בשם סמי. במרתף ביתו של סמי ישבו התובע, הנתבע, אהרון ואדם על ספה גדולה בצורה האות </w:t>
      </w:r>
      <w:r>
        <w:rPr>
          <w:rFonts w:ascii="FrankRuehl" w:hAnsi="FrankRuehl" w:cs="FrankRuehl"/>
          <w:sz w:val="28"/>
          <w:szCs w:val="28"/>
        </w:rPr>
        <w:t>L</w:t>
      </w:r>
      <w:r>
        <w:rPr>
          <w:rFonts w:ascii="FrankRuehl" w:hAnsi="FrankRuehl" w:cs="FrankRuehl"/>
          <w:sz w:val="28"/>
          <w:szCs w:val="28"/>
          <w:rtl/>
        </w:rPr>
        <w:t xml:space="preserve">, כאשר סמי יושב על כורסת יחיד מולם (עדות העד סמי, עמ' 96, ש' 1-5, ת/2). הנתבע ישב/נשען על הספה, בתנוחת חצי שכיבה, כאשר רגליו על הספה לכיוון התובע שישב על הכורסא ופניו לכיוון אמצע החדר. במרתף לא הודלק אור ומצב התאורה היה חשוך למדי. </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 xml:space="preserve">השיחה שקדמה לאירוע עסקה לטענת התובע בנושאי "תיכון", "בנות" ו"נושאים טיפוסיים אחרים של גיל העשרה". הנתבע פירט בתצהירו שהשיחה עסקה בנושאים מיניים וכי התובע הפליג בתיאורים מיניים "וולגרים וקשים". תיאור הנתבע לא נסתר ולא נטען נגדו ומצאתי לאמצו. </w:t>
      </w:r>
    </w:p>
    <w:p w:rsidR="004C3D00" w:rsidRDefault="004C3D00" w:rsidP="004C3D00">
      <w:pPr>
        <w:pStyle w:val="ad"/>
        <w:numPr>
          <w:ilvl w:val="0"/>
          <w:numId w:val="1"/>
        </w:numPr>
        <w:spacing w:after="80" w:line="360" w:lineRule="auto"/>
        <w:contextualSpacing w:val="0"/>
        <w:jc w:val="both"/>
        <w:rPr>
          <w:rFonts w:ascii="FrankRuehl" w:hAnsi="FrankRuehl" w:cs="FrankRuehl"/>
          <w:spacing w:val="-2"/>
          <w:sz w:val="28"/>
          <w:szCs w:val="28"/>
        </w:rPr>
      </w:pPr>
      <w:r>
        <w:rPr>
          <w:rFonts w:ascii="FrankRuehl" w:hAnsi="FrankRuehl" w:cs="FrankRuehl"/>
          <w:spacing w:val="-2"/>
          <w:sz w:val="28"/>
          <w:szCs w:val="28"/>
          <w:rtl/>
        </w:rPr>
        <w:t xml:space="preserve">הנתבע לא דיבר במהלך שיחה זו וכעבור זמן שאל אותו אחד הנוכחים (אדם) לפשר התנהגותו ושתיקתו. על כך השיב הנתבע </w:t>
      </w:r>
      <w:r>
        <w:rPr>
          <w:rFonts w:ascii="FrankRuehl" w:hAnsi="FrankRuehl" w:cs="FrankRuehl"/>
          <w:spacing w:val="-2"/>
          <w:sz w:val="28"/>
          <w:szCs w:val="28"/>
        </w:rPr>
        <w:t xml:space="preserve">I don't have anything to say, except that this kid is a pussy"  </w:t>
      </w:r>
      <w:r>
        <w:rPr>
          <w:rFonts w:ascii="FrankRuehl" w:hAnsi="FrankRuehl" w:cs="FrankRuehl"/>
          <w:spacing w:val="-2"/>
          <w:sz w:val="28"/>
          <w:szCs w:val="28"/>
          <w:rtl/>
        </w:rPr>
        <w:t xml:space="preserve"> ". השיחה נמשכה כאשר הנתבע ממשיך לא להשתתף בה ולאחר כרבע שעה אדם שאל בשנית את הנתבע מדוע אינו מעורב בשיחה. הנתבע לא הגיב ואז אמר התובע: </w:t>
      </w:r>
      <w:r>
        <w:rPr>
          <w:rFonts w:ascii="FrankRuehl" w:hAnsi="FrankRuehl" w:cs="FrankRuehl"/>
          <w:spacing w:val="-2"/>
          <w:sz w:val="28"/>
          <w:szCs w:val="28"/>
        </w:rPr>
        <w:t>"honestly, if he doesn't have anything nice to say, he can shut the fuck up".</w:t>
      </w:r>
      <w:r>
        <w:rPr>
          <w:rFonts w:ascii="FrankRuehl" w:hAnsi="FrankRuehl" w:cs="FrankRuehl"/>
          <w:spacing w:val="-2"/>
          <w:sz w:val="28"/>
          <w:szCs w:val="28"/>
          <w:rtl/>
        </w:rPr>
        <w:t xml:space="preserve"> </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 xml:space="preserve">מיד לאחר מכן פגעה רגלו של הנתבע בעוצמה בפרצופו של התובע. לטענת התובע, מדובר היה בבעיטה עוצמתית ומכוונת. לטענת הנתבע, מדובר היה בהרמת רגל ובפגיעה שנובעת מ"רפלקס", או בהגנה עצמית. </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 xml:space="preserve">התוצאה הישירה של הבעיטה אינה שנויה במחלוקת. הפגיעה היתה הישר באפו של התובע, אשר ספג מהלומה ואפו נשבר. התובע פונה לבית חולים שם אובחנו שברים באפו. </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שבוע לאחר האירוע התקשר הנתבע לתובע וביקש להגיע למקום בו שהה להתנצל ואולם התובע סירב לכך. ביום 23.7.12 מסר התובע תצהיר אודות האירוע לעורך דינו.</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 xml:space="preserve">התביעה הוגשה בשנת 2017 נגד הנתבע, הוריו (הנתבעים 2,3) וחברת הביטוח שביטחה את בית הוריו (הנתבעת 4, להלן: המבטחת). באשר לחבות הנתבע יש להכריע בטענת התובע כי החבות נובעת מעוולת התקיפה ולחלופין נטען לעוולת הרשלנות. באשר לחבות הנתבעים 2,3, הטענות בכתב התביעה לא הוכחו ואתייחס לכך בהמשך. באשר למבטחת, אין מחלוקת כי זו ביטחה את הנתבעים ובמסגרתה הפוליסה נקבע כיסוי במקרה בו תוטל חבות על הנתבע </w:t>
      </w:r>
      <w:r>
        <w:rPr>
          <w:rFonts w:ascii="FrankRuehl" w:hAnsi="FrankRuehl" w:cs="FrankRuehl"/>
          <w:sz w:val="28"/>
          <w:szCs w:val="28"/>
          <w:rtl/>
        </w:rPr>
        <w:lastRenderedPageBreak/>
        <w:t xml:space="preserve">לנזק גוף, וזאת לגבי מקרה ביטוח שמוגדר כ"אירוע תאונתי בלתי צפוי" ולמעט חריגים שאחד מהם הוא "רשלנות פושעת" או "זדון". לאחריות המבטחת יש להידרש לאור הקביעות שיקבעו בענין אחריות הנתבע.   </w:t>
      </w:r>
    </w:p>
    <w:p w:rsidR="004C3D00" w:rsidRPr="004C3D00" w:rsidRDefault="004C3D00" w:rsidP="004C3D00">
      <w:pPr>
        <w:spacing w:after="80" w:line="360" w:lineRule="auto"/>
        <w:jc w:val="both"/>
        <w:rPr>
          <w:rFonts w:ascii="FrankRuehl" w:hAnsi="FrankRuehl" w:cs="FrankRuehl"/>
          <w:sz w:val="28"/>
          <w:szCs w:val="28"/>
          <w:u w:val="single"/>
        </w:rPr>
      </w:pPr>
      <w:r w:rsidRPr="004C3D00">
        <w:rPr>
          <w:rFonts w:ascii="FrankRuehl" w:hAnsi="FrankRuehl" w:cs="FrankRuehl"/>
          <w:sz w:val="28"/>
          <w:szCs w:val="28"/>
          <w:u w:val="single"/>
          <w:rtl/>
        </w:rPr>
        <w:t>חבות הנתבע – עוולת התקיפה</w:t>
      </w:r>
    </w:p>
    <w:p w:rsidR="004C3D00" w:rsidRPr="004C3D00" w:rsidRDefault="004C3D00" w:rsidP="004C3D00">
      <w:pPr>
        <w:pStyle w:val="ad"/>
        <w:numPr>
          <w:ilvl w:val="0"/>
          <w:numId w:val="1"/>
        </w:numPr>
        <w:spacing w:after="80" w:line="360" w:lineRule="auto"/>
        <w:contextualSpacing w:val="0"/>
        <w:jc w:val="both"/>
        <w:rPr>
          <w:rStyle w:val="Hyperlink"/>
          <w:color w:val="auto"/>
          <w:u w:val="none"/>
          <w:rtl/>
        </w:rPr>
      </w:pPr>
      <w:r w:rsidRPr="004C3D00">
        <w:rPr>
          <w:rFonts w:ascii="FrankRuehl" w:hAnsi="FrankRuehl" w:cs="FrankRuehl"/>
          <w:sz w:val="28"/>
          <w:szCs w:val="28"/>
          <w:rtl/>
        </w:rPr>
        <w:t>עוולת התקיפה מוגדרת בסעיף 23 לפקודת הנזיקין [נוסח חדש] כ"</w:t>
      </w:r>
      <w:r w:rsidRPr="004C3D00">
        <w:rPr>
          <w:rFonts w:ascii="Miriam" w:eastAsia="Times New Roman" w:hAnsi="Miriam" w:cs="Miriam"/>
          <w:sz w:val="24"/>
          <w:szCs w:val="24"/>
          <w:rtl/>
        </w:rPr>
        <w:t>שימוש בכוח מכל סוג שהוא, ובמתכוון, נגד גופו של אדם על ידי הכאה, נגיעה, הזזה או בכל דרך אחרת...".</w:t>
      </w:r>
      <w:r w:rsidRPr="004C3D00">
        <w:rPr>
          <w:rFonts w:ascii="FrankRuehl" w:eastAsia="Times New Roman" w:hAnsi="FrankRuehl" w:cs="FrankRuehl"/>
          <w:sz w:val="28"/>
          <w:szCs w:val="28"/>
          <w:rtl/>
        </w:rPr>
        <w:t xml:space="preserve"> על התובע בעילה זו להוכיח שני אלה – נעשה שימוש בכוח כלפי אחר שלא בהסכמת האחר; הדבר נעשה "במתכוון". באשר למישור "הכוונה", האחריות קמה במקרה בו התוקף צפה שהמעשה יביא למגע פיסי ורצה בתוצאה זו ואין צורך להוכיח מניע פסול ("זדון", ראו </w:t>
      </w:r>
      <w:r w:rsidRPr="004C3D00">
        <w:rPr>
          <w:rFonts w:ascii="FrankRuehl" w:hAnsi="FrankRuehl" w:cs="FrankRuehl"/>
          <w:sz w:val="28"/>
          <w:szCs w:val="28"/>
          <w:rtl/>
        </w:rPr>
        <w:t xml:space="preserve">ד' קרצ'מר, </w:t>
      </w:r>
      <w:r w:rsidRPr="004C3D00">
        <w:rPr>
          <w:rFonts w:ascii="Miriam" w:hAnsi="Miriam" w:cs="Miriam"/>
          <w:sz w:val="24"/>
          <w:szCs w:val="24"/>
          <w:rtl/>
        </w:rPr>
        <w:t>דיני הנזיקין – העוולות השונות – תקיפה וכליאת שווא</w:t>
      </w:r>
      <w:r w:rsidRPr="004C3D00">
        <w:rPr>
          <w:rFonts w:ascii="Miriam" w:hAnsi="Miriam" w:cs="Miriam"/>
          <w:sz w:val="26"/>
          <w:szCs w:val="26"/>
          <w:rtl/>
        </w:rPr>
        <w:t> </w:t>
      </w:r>
      <w:r w:rsidRPr="004C3D00">
        <w:rPr>
          <w:rFonts w:ascii="FrankRuehl" w:hAnsi="FrankRuehl" w:cs="FrankRuehl"/>
          <w:sz w:val="28"/>
          <w:szCs w:val="28"/>
          <w:rtl/>
        </w:rPr>
        <w:t xml:space="preserve">(המכון למחקרי חקיקה ולמשפט השוואתי ע"ש הרי סאקר, ג' טדסקי עורך, 1981, עמ' 8; מבחן זה אומץ בפסיקה וראו  למשל  </w:t>
      </w:r>
      <w:hyperlink r:id="rId8" w:history="1">
        <w:r w:rsidRPr="004C3D00">
          <w:rPr>
            <w:rStyle w:val="Hyperlink"/>
            <w:rFonts w:ascii="FrankRuehl" w:hAnsi="FrankRuehl" w:cs="FrankRuehl"/>
            <w:color w:val="auto"/>
            <w:sz w:val="28"/>
            <w:szCs w:val="28"/>
            <w:u w:val="none"/>
            <w:rtl/>
          </w:rPr>
          <w:t xml:space="preserve">ת"א (מחוזי ירושלים) 1244/97 </w:t>
        </w:r>
        <w:r w:rsidRPr="004C3D00">
          <w:rPr>
            <w:rStyle w:val="Hyperlink"/>
            <w:rFonts w:ascii="Miriam" w:hAnsi="Miriam" w:cs="Miriam"/>
            <w:color w:val="auto"/>
            <w:sz w:val="24"/>
            <w:szCs w:val="24"/>
            <w:u w:val="none"/>
            <w:rtl/>
          </w:rPr>
          <w:t>חרר ג'ורג'ט נ' אליהו קידר</w:t>
        </w:r>
        <w:r w:rsidRPr="004C3D00">
          <w:rPr>
            <w:rStyle w:val="Hyperlink"/>
            <w:rFonts w:ascii="FrankRuehl" w:hAnsi="FrankRuehl" w:cs="FrankRuehl"/>
            <w:color w:val="auto"/>
            <w:sz w:val="28"/>
            <w:szCs w:val="28"/>
            <w:u w:val="none"/>
            <w:rtl/>
          </w:rPr>
          <w:t xml:space="preserve"> (17.11.2005)).</w:t>
        </w:r>
      </w:hyperlink>
    </w:p>
    <w:p w:rsidR="004C3D00" w:rsidRDefault="00FF1D93" w:rsidP="004C3D00">
      <w:pPr>
        <w:pStyle w:val="ad"/>
        <w:numPr>
          <w:ilvl w:val="0"/>
          <w:numId w:val="1"/>
        </w:numPr>
        <w:spacing w:after="80" w:line="360" w:lineRule="auto"/>
        <w:contextualSpacing w:val="0"/>
        <w:jc w:val="both"/>
        <w:rPr>
          <w:rFonts w:eastAsia="Times New Roman"/>
          <w:color w:val="000000"/>
          <w:rtl/>
        </w:rPr>
      </w:pPr>
      <w:hyperlink r:id="rId9" w:history="1">
        <w:r w:rsidR="004C3D00">
          <w:rPr>
            <w:rStyle w:val="Hyperlink"/>
            <w:rFonts w:ascii="FrankRuehl" w:hAnsi="FrankRuehl" w:cs="FrankRuehl"/>
            <w:sz w:val="28"/>
            <w:szCs w:val="28"/>
            <w:rtl/>
          </w:rPr>
          <w:t>‏</w:t>
        </w:r>
      </w:hyperlink>
      <w:r w:rsidR="004C3D00">
        <w:rPr>
          <w:rFonts w:ascii="FrankRuehl" w:hAnsi="FrankRuehl" w:cs="FrankRuehl"/>
          <w:color w:val="000000"/>
          <w:sz w:val="28"/>
          <w:szCs w:val="28"/>
          <w:rtl/>
        </w:rPr>
        <w:t>‏</w:t>
      </w:r>
      <w:r w:rsidR="004C3D00">
        <w:rPr>
          <w:rFonts w:ascii="FrankRuehl" w:eastAsia="Times New Roman" w:hAnsi="FrankRuehl" w:cs="FrankRuehl"/>
          <w:color w:val="000000"/>
          <w:sz w:val="28"/>
          <w:szCs w:val="28"/>
          <w:rtl/>
        </w:rPr>
        <w:t>ככל שיסודות אלה של עוולת התקיפה מוכחות על-ידי התובע, יש לבחון האם עומדת לנתבע אחת ההגנות המיוחדות שנקבעו בסעיף 24 לפקודה. נטל השכנוע לקיומה של הגנה מוטל הנתבע וככל שזה עמד בו על התובע להוכיח שההגנה אינה קיימת. בענייננו ההגנה הרלוונטית היא הגנת "ההגנה העצמית" הקבועה בסעיף 24(1) לפקודת הנזיקין. בהתאם להוראה זו קמה הגנה לנתבע: "</w:t>
      </w:r>
      <w:r w:rsidR="004C3D00">
        <w:rPr>
          <w:rFonts w:ascii="Miriam" w:eastAsia="Times New Roman" w:hAnsi="Miriam" w:cs="Miriam"/>
          <w:color w:val="000000"/>
          <w:sz w:val="24"/>
          <w:szCs w:val="24"/>
          <w:rtl/>
        </w:rPr>
        <w:t>אם</w:t>
      </w:r>
      <w:r w:rsidR="004C3D00">
        <w:rPr>
          <w:rFonts w:ascii="Miriam" w:eastAsia="Times New Roman" w:hAnsi="Miriam" w:cs="Miriam"/>
          <w:color w:val="000000"/>
          <w:sz w:val="24"/>
          <w:szCs w:val="24"/>
        </w:rPr>
        <w:t xml:space="preserve"> </w:t>
      </w:r>
      <w:r w:rsidR="004C3D00">
        <w:rPr>
          <w:rFonts w:ascii="Miriam" w:eastAsia="Times New Roman" w:hAnsi="Miriam" w:cs="Miriam"/>
          <w:color w:val="000000"/>
          <w:sz w:val="24"/>
          <w:szCs w:val="24"/>
          <w:rtl/>
        </w:rPr>
        <w:t>עשה את המעשה בסבירות כדי להגן על עצמו או על זולתו מפני פגיעה בחיים, בגוף, בחירות או ברכוש, והיחס בין הנזק שסביר היה שייגרם מהמעשה לבין הנזק שסביר היה שיימנע על ידיו, היה סביר</w:t>
      </w:r>
      <w:r w:rsidR="004C3D00">
        <w:rPr>
          <w:rFonts w:ascii="FrankRuehl" w:eastAsia="Times New Roman" w:hAnsi="FrankRuehl" w:cs="FrankRuehl"/>
          <w:color w:val="000000"/>
          <w:sz w:val="28"/>
          <w:szCs w:val="28"/>
        </w:rPr>
        <w:t>"</w:t>
      </w:r>
      <w:r w:rsidR="004C3D00">
        <w:rPr>
          <w:rFonts w:ascii="FrankRuehl" w:eastAsia="Times New Roman" w:hAnsi="FrankRuehl" w:cs="FrankRuehl"/>
          <w:color w:val="000000"/>
          <w:sz w:val="28"/>
          <w:szCs w:val="28"/>
          <w:rtl/>
        </w:rPr>
        <w:t>.</w:t>
      </w:r>
    </w:p>
    <w:p w:rsidR="004C3D00" w:rsidRDefault="004C3D00" w:rsidP="004C3D00">
      <w:pPr>
        <w:pStyle w:val="ad"/>
        <w:spacing w:after="80" w:line="360" w:lineRule="auto"/>
        <w:ind w:left="360"/>
        <w:contextualSpacing w:val="0"/>
        <w:jc w:val="both"/>
        <w:rPr>
          <w:rFonts w:ascii="FrankRuehl" w:eastAsia="Times New Roman" w:hAnsi="FrankRuehl" w:cs="FrankRuehl"/>
          <w:spacing w:val="10"/>
          <w:sz w:val="28"/>
          <w:szCs w:val="28"/>
        </w:rPr>
      </w:pPr>
      <w:r>
        <w:rPr>
          <w:rFonts w:ascii="FrankRuehl" w:eastAsia="Times New Roman" w:hAnsi="FrankRuehl" w:cs="FrankRuehl"/>
          <w:sz w:val="28"/>
          <w:szCs w:val="28"/>
          <w:rtl/>
        </w:rPr>
        <w:t xml:space="preserve">לשם גיבוש ההגנה נדרשת הוכחת ארבעה יסודות, אשר הראשון בהם הוא הוא הוכחה שמדובר בהתגוננות מפני שימוש בכוח, או איום להשתמש בכוח. תנאי נוסף לתחולת ההגנה הוא </w:t>
      </w:r>
      <w:r>
        <w:rPr>
          <w:rFonts w:ascii="FrankRuehl" w:eastAsia="Times New Roman" w:hAnsi="FrankRuehl" w:cs="FrankRuehl"/>
          <w:spacing w:val="10"/>
          <w:sz w:val="28"/>
          <w:szCs w:val="28"/>
          <w:rtl/>
        </w:rPr>
        <w:t>כי התגובה נדרשה ולא חרגה ממידת הנחיצות הסבירה לשם הגשמת מטרת ההתגוננות (</w:t>
      </w:r>
      <w:r>
        <w:rPr>
          <w:rFonts w:ascii="FrankRuehl" w:hAnsi="FrankRuehl" w:cs="FrankRuehl"/>
          <w:sz w:val="28"/>
          <w:szCs w:val="28"/>
          <w:rtl/>
        </w:rPr>
        <w:t>ע"א 11172/05 </w:t>
      </w:r>
      <w:r>
        <w:rPr>
          <w:rFonts w:ascii="Miriam" w:hAnsi="Miriam" w:cs="Miriam"/>
          <w:sz w:val="24"/>
          <w:szCs w:val="24"/>
          <w:rtl/>
        </w:rPr>
        <w:t>זיו אלון נ' נועם חדד</w:t>
      </w:r>
      <w:r>
        <w:rPr>
          <w:rFonts w:ascii="FrankRuehl" w:hAnsi="FrankRuehl" w:cs="FrankRuehl"/>
          <w:sz w:val="28"/>
          <w:szCs w:val="28"/>
          <w:rtl/>
        </w:rPr>
        <w:t xml:space="preserve"> (21.10.2009)).</w:t>
      </w:r>
    </w:p>
    <w:p w:rsidR="004C3D00" w:rsidRPr="004C3D00" w:rsidRDefault="004C3D00" w:rsidP="004C3D00">
      <w:pPr>
        <w:pStyle w:val="ad"/>
        <w:numPr>
          <w:ilvl w:val="0"/>
          <w:numId w:val="1"/>
        </w:numPr>
        <w:spacing w:after="80" w:line="360" w:lineRule="auto"/>
        <w:contextualSpacing w:val="0"/>
        <w:jc w:val="both"/>
        <w:rPr>
          <w:rFonts w:ascii="FrankRuehl" w:eastAsia="Times New Roman" w:hAnsi="FrankRuehl" w:cs="FrankRuehl"/>
          <w:sz w:val="28"/>
          <w:szCs w:val="28"/>
        </w:rPr>
      </w:pPr>
      <w:r w:rsidRPr="004C3D00">
        <w:rPr>
          <w:rFonts w:ascii="FrankRuehl" w:eastAsia="Times New Roman" w:hAnsi="FrankRuehl" w:cs="FrankRuehl"/>
          <w:sz w:val="28"/>
          <w:szCs w:val="28"/>
          <w:rtl/>
        </w:rPr>
        <w:t xml:space="preserve">בהתאם לפסיקה, עוולת הרשלנות חלה גם במקרה של אירוע תקיפה. עם זאת יש להדגיש כי בתחולה מקבילה זו אין כדי לפגוע במאפייניה הייחודיים של עוולת התקיפה ובמיוחד בדרישת הכוונה המתלווה אליה. למעשה, השימוש בעילת הרשלנות לגבי מצבי תקיפה נדרש במקום בו לא הוכחה כוונה ובמצב המכונה "תקיפה רשלנית" </w:t>
      </w:r>
      <w:r w:rsidRPr="004C3D00">
        <w:rPr>
          <w:rFonts w:ascii="FrankRuehl" w:eastAsia="Times New Roman" w:hAnsi="FrankRuehl" w:cs="FrankRuehl"/>
          <w:sz w:val="28"/>
          <w:szCs w:val="28"/>
        </w:rPr>
        <w:t>)</w:t>
      </w:r>
      <w:hyperlink r:id="rId10" w:history="1">
        <w:r w:rsidRPr="004C3D00">
          <w:rPr>
            <w:rStyle w:val="Hyperlink"/>
            <w:rFonts w:ascii="FrankRuehl" w:hAnsi="FrankRuehl" w:cs="FrankRuehl"/>
            <w:color w:val="auto"/>
            <w:sz w:val="28"/>
            <w:szCs w:val="28"/>
            <w:u w:val="none"/>
            <w:rtl/>
          </w:rPr>
          <w:t xml:space="preserve">ע"א 243/83 </w:t>
        </w:r>
        <w:r w:rsidRPr="004C3D00">
          <w:rPr>
            <w:rStyle w:val="Hyperlink"/>
            <w:rFonts w:ascii="Miriam" w:hAnsi="Miriam" w:cs="Miriam"/>
            <w:color w:val="auto"/>
            <w:sz w:val="24"/>
            <w:szCs w:val="24"/>
            <w:u w:val="none"/>
            <w:rtl/>
          </w:rPr>
          <w:t>עירית ירושלים נ' אלי גורדון</w:t>
        </w:r>
        <w:r w:rsidRPr="004C3D00">
          <w:rPr>
            <w:rStyle w:val="Hyperlink"/>
            <w:rFonts w:ascii="FrankRuehl" w:hAnsi="FrankRuehl" w:cs="FrankRuehl"/>
            <w:color w:val="auto"/>
            <w:sz w:val="28"/>
            <w:szCs w:val="28"/>
            <w:u w:val="none"/>
            <w:rtl/>
          </w:rPr>
          <w:t>, פ"ד לט</w:t>
        </w:r>
      </w:hyperlink>
      <w:r w:rsidRPr="004C3D00">
        <w:rPr>
          <w:rFonts w:ascii="FrankRuehl" w:hAnsi="FrankRuehl" w:cs="FrankRuehl"/>
          <w:sz w:val="28"/>
          <w:szCs w:val="28"/>
          <w:rtl/>
        </w:rPr>
        <w:t xml:space="preserve">(1) 125, 113, בפסקה </w:t>
      </w:r>
      <w:r w:rsidRPr="004C3D00">
        <w:rPr>
          <w:rFonts w:ascii="FrankRuehl" w:eastAsia="Times New Roman" w:hAnsi="FrankRuehl" w:cs="FrankRuehl"/>
          <w:sz w:val="28"/>
          <w:szCs w:val="28"/>
          <w:rtl/>
        </w:rPr>
        <w:t>10</w:t>
      </w:r>
      <w:r w:rsidRPr="004C3D00">
        <w:rPr>
          <w:rFonts w:ascii="FrankRuehl" w:hAnsi="FrankRuehl" w:cs="FrankRuehl"/>
          <w:sz w:val="28"/>
          <w:szCs w:val="28"/>
          <w:rtl/>
        </w:rPr>
        <w:t xml:space="preserve">). </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tl/>
        </w:rPr>
      </w:pPr>
      <w:r>
        <w:rPr>
          <w:rFonts w:ascii="FrankRuehl" w:eastAsia="Times New Roman" w:hAnsi="FrankRuehl" w:cs="FrankRuehl"/>
          <w:color w:val="000000"/>
          <w:sz w:val="28"/>
          <w:szCs w:val="28"/>
          <w:rtl/>
        </w:rPr>
        <w:lastRenderedPageBreak/>
        <w:t xml:space="preserve">בענייננו </w:t>
      </w:r>
      <w:r>
        <w:rPr>
          <w:rFonts w:ascii="FrankRuehl" w:hAnsi="FrankRuehl" w:cs="FrankRuehl"/>
          <w:sz w:val="28"/>
          <w:szCs w:val="28"/>
          <w:rtl/>
        </w:rPr>
        <w:t xml:space="preserve">כפי שהעידו העדים, למעט הנתבע, הנתבע ישב כשרגליו על הספה ובעט בעוצמה ברגלו </w:t>
      </w:r>
      <w:r>
        <w:rPr>
          <w:rFonts w:ascii="FrankRuehl" w:eastAsia="Times New Roman" w:hAnsi="FrankRuehl" w:cs="FrankRuehl"/>
          <w:color w:val="000000"/>
          <w:sz w:val="28"/>
          <w:szCs w:val="28"/>
          <w:rtl/>
        </w:rPr>
        <w:t>הימנית</w:t>
      </w:r>
      <w:r>
        <w:rPr>
          <w:rFonts w:ascii="FrankRuehl" w:hAnsi="FrankRuehl" w:cs="FrankRuehl"/>
          <w:sz w:val="28"/>
          <w:szCs w:val="28"/>
          <w:rtl/>
        </w:rPr>
        <w:t xml:space="preserve"> בראשו של התובע (תצהיר התובע בפסקה 18, עדותו בעמ' 16 ש' 28,29, תצהיר העד אהרון בסעיף 6 ועדותו בעמ' 74 ש' , 31-33, עדות אדם, עמ' 81, ש' 6,7). כפי שהעיד סמי, עד מטעם הנתבע וחברו הטוב, הנתבע הרים את הגוף ולמעשה את הגב, "כמו גל" ואז סובב את רגלו (עמ' 107, ש' 3-28). </w:t>
      </w:r>
    </w:p>
    <w:p w:rsidR="004C3D00" w:rsidRDefault="004C3D00" w:rsidP="004C3D00">
      <w:pPr>
        <w:pStyle w:val="ad"/>
        <w:spacing w:after="80" w:line="360" w:lineRule="auto"/>
        <w:ind w:left="360"/>
        <w:contextualSpacing w:val="0"/>
        <w:jc w:val="both"/>
        <w:rPr>
          <w:rFonts w:ascii="FrankRuehl" w:hAnsi="FrankRuehl" w:cs="FrankRuehl"/>
          <w:sz w:val="28"/>
          <w:szCs w:val="28"/>
        </w:rPr>
      </w:pPr>
      <w:r>
        <w:rPr>
          <w:rFonts w:ascii="FrankRuehl" w:hAnsi="FrankRuehl" w:cs="FrankRuehl"/>
          <w:sz w:val="28"/>
          <w:szCs w:val="28"/>
          <w:rtl/>
        </w:rPr>
        <w:t>המשמעות, כפי שנטען על-ידי התובע בתצהירו היא שמדובר היה בתנועת "פיתול" שקדמה לבעיטה. אין מדובר ב"הרמת רגל" כפי שטען הנתבע בעדותו ובודאי שלא ב"רפלקס", אלא בתנועת פיתול שמטרתה יצירת תנועה ובסיומה בעיטה "סיבובית" חזקה. מכאן ומאחר שבעיטה זו כוונה לגופו של התובע, הרי שהוכחה תקיפה מכוונת.</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 xml:space="preserve">לטענת הנתבע עומדת לו ההגנה הקבועה בסעיף 24(1) לפקודה ("הגנה עצמית"), שכן הוא הרגיש מאויים כתוצאה מהתבטאות של התובע שקדמה לבעיטה ומאחר שהתבטאות זו נעשתה תוך שהוא חש בתובע מתקדם לעברו. </w:t>
      </w:r>
    </w:p>
    <w:p w:rsidR="004C3D00" w:rsidRDefault="004C3D00" w:rsidP="004C3D00">
      <w:pPr>
        <w:pStyle w:val="ad"/>
        <w:spacing w:after="80" w:line="360" w:lineRule="auto"/>
        <w:ind w:left="360"/>
        <w:contextualSpacing w:val="0"/>
        <w:jc w:val="both"/>
        <w:rPr>
          <w:rFonts w:ascii="FrankRuehl" w:hAnsi="FrankRuehl" w:cs="FrankRuehl"/>
          <w:sz w:val="28"/>
          <w:szCs w:val="28"/>
        </w:rPr>
      </w:pPr>
      <w:r>
        <w:rPr>
          <w:rFonts w:ascii="FrankRuehl" w:hAnsi="FrankRuehl" w:cs="FrankRuehl"/>
          <w:sz w:val="28"/>
          <w:szCs w:val="28"/>
          <w:rtl/>
        </w:rPr>
        <w:t xml:space="preserve">באשר להתבטאות התובע, אין חולק כי שניות לפני הפגיעה אמר התובע שאם לנתבע אין "משהו נחמד להגיד" </w:t>
      </w:r>
      <w:r>
        <w:rPr>
          <w:rFonts w:ascii="FrankRuehl" w:hAnsi="FrankRuehl" w:cs="FrankRuehl"/>
          <w:sz w:val="28"/>
          <w:szCs w:val="28"/>
        </w:rPr>
        <w:t>"he can shut the fuck up"</w:t>
      </w:r>
      <w:r>
        <w:rPr>
          <w:rFonts w:ascii="FrankRuehl" w:hAnsi="FrankRuehl" w:cs="FrankRuehl"/>
          <w:sz w:val="28"/>
          <w:szCs w:val="28"/>
          <w:rtl/>
        </w:rPr>
        <w:t>. בהתאם לעדות התובע, אשר נתמכה גם בעדות עד התובע סמי (עמ' 106, ש' 24,5), האמירה נאמרה ל"חלל" החדר כאשר התובע לא מסיט את מבטו לעבר הנתבע שישב לצידו ובוודאי שלא מתקדם לעברו (ראו גם עדות אדם עמ' 82, ש' 27). טענתו העובדתית של הנתבע כי "חש" שהתובע התקדם לעברו אינה מבוססת אפוא. גם טענתו העובדתית הנוספת של הנתבע שלפיה כתגובה לאיום בו חש הרים את רגלו השמאלית אינה מבוססת וכאמור הוכח כי הנתבע לא הרים את רגלו השמאלית, אלא התפתל בתנועה סיבובית לקראת בעיטה רגלו הימנית. הנה כי כן, טענת האיום לא הוכחה. לתקיפה קדמה אמירה בוטה, אך בודאי שלא מאיימת, והתגובה האלימה כלפי אמירה זו רחוקה מאוד מגדר ההגנה העצמית.</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 xml:space="preserve">לפיכך מדובר תקיפה אלימה שהתרחשה תוך שניות, כתגובה לא מתוכננת לשיח בוטה ומכאן שמדובר במעשה באלימות מכוון שאינו בבחינת הגנה עצמית. לאור קביעה זו קמה אחריות הנתבע בגין עוולת התקיפה. </w:t>
      </w:r>
    </w:p>
    <w:p w:rsidR="004C3D00" w:rsidRPr="00CC1887" w:rsidRDefault="004C3D00" w:rsidP="00CC1887">
      <w:pPr>
        <w:pStyle w:val="ad"/>
        <w:numPr>
          <w:ilvl w:val="0"/>
          <w:numId w:val="1"/>
        </w:numPr>
        <w:spacing w:after="80" w:line="360" w:lineRule="auto"/>
        <w:contextualSpacing w:val="0"/>
        <w:jc w:val="both"/>
        <w:rPr>
          <w:rFonts w:ascii="FrankRuehl" w:hAnsi="FrankRuehl" w:cs="FrankRuehl"/>
          <w:spacing w:val="-4"/>
          <w:sz w:val="28"/>
          <w:szCs w:val="28"/>
        </w:rPr>
      </w:pPr>
      <w:r w:rsidRPr="00CC1887">
        <w:rPr>
          <w:rFonts w:ascii="FrankRuehl" w:hAnsi="FrankRuehl" w:cs="FrankRuehl"/>
          <w:spacing w:val="-4"/>
          <w:sz w:val="28"/>
          <w:szCs w:val="28"/>
          <w:rtl/>
        </w:rPr>
        <w:lastRenderedPageBreak/>
        <w:t xml:space="preserve">להשלמת התמונה – ונראה שהדבר </w:t>
      </w:r>
      <w:r w:rsidR="00CC1887">
        <w:rPr>
          <w:rFonts w:ascii="FrankRuehl" w:hAnsi="FrankRuehl" w:cs="FrankRuehl" w:hint="cs"/>
          <w:spacing w:val="-4"/>
          <w:sz w:val="28"/>
          <w:szCs w:val="28"/>
          <w:rtl/>
        </w:rPr>
        <w:t>רלוונטי</w:t>
      </w:r>
      <w:r w:rsidRPr="00CC1887">
        <w:rPr>
          <w:rFonts w:ascii="FrankRuehl" w:hAnsi="FrankRuehl" w:cs="FrankRuehl"/>
          <w:spacing w:val="-4"/>
          <w:sz w:val="28"/>
          <w:szCs w:val="28"/>
          <w:rtl/>
        </w:rPr>
        <w:t xml:space="preserve"> בעיקר לבחינת בקשת התובע לקביעת "פיצוי עונשי" – אציין כי לא מצאתי בסיס לטענה למניע קודם, או כוונה מתוכננת לגרום נזק. תיאור השתלשלות האירוע על-ידי העדים מצביע על אובדן שליטה אלים ומהיר, אשר הפתיע את כל הנוכחים. </w:t>
      </w:r>
    </w:p>
    <w:p w:rsidR="004C3D00" w:rsidRDefault="004C3D00" w:rsidP="004C3D00">
      <w:pPr>
        <w:pStyle w:val="ad"/>
        <w:spacing w:after="80" w:line="360" w:lineRule="auto"/>
        <w:ind w:left="360"/>
        <w:contextualSpacing w:val="0"/>
        <w:jc w:val="both"/>
        <w:rPr>
          <w:rFonts w:ascii="FrankRuehl" w:hAnsi="FrankRuehl" w:cs="FrankRuehl"/>
          <w:sz w:val="28"/>
          <w:szCs w:val="28"/>
        </w:rPr>
      </w:pPr>
      <w:r>
        <w:rPr>
          <w:rFonts w:ascii="FrankRuehl" w:hAnsi="FrankRuehl" w:cs="FrankRuehl"/>
          <w:sz w:val="28"/>
          <w:szCs w:val="28"/>
          <w:rtl/>
        </w:rPr>
        <w:t xml:space="preserve">בהקשר זה אציין שלא מצאתי לקבל את טענת התובע שלפיה לאחר התקיפה אמר לו הנתבע מספר פעמים "מגיע לך לחטוף בעיטה". בעדותו צמצם התובע את הטענה לכדי אימרה אחת כזו והוסיף כי האירועים בשלב שלאחר התקיפה עברו עליו "באופן מעורפל". הנתבע הכחיש את האמירה וגם יתר העדים לא זכרו אותה. זאת ועוד, אמירה מעין זו אינה מתאימה להתנהלותו של הנתבע בהמשך, כאשר התנצל והציע לתובע ל"החזיר לו". יצוין שאין מחלוקת בדבר בקשת הסליחה של הנתבע, שלוותה בהצעה "להחזרת" מהלומה, ואף שאין מדובר בהצעה הולמת הרי שנראה שמדובר בסממן חרטה. מכל מקום וכעדות הנתבע ויתר העדים – אני מקבל את טענת הנתבע שלפיה הוא הצטער על האירוע וניסה להתנצל. אחזור ואציין כי בכך אין כדי לשלול את יסוד הכוונה בתקיפה. </w:t>
      </w:r>
    </w:p>
    <w:p w:rsidR="004C3D00" w:rsidRDefault="004C3D00" w:rsidP="004C3D00">
      <w:pPr>
        <w:spacing w:after="80" w:line="360" w:lineRule="auto"/>
        <w:jc w:val="both"/>
        <w:rPr>
          <w:rFonts w:ascii="FrankRuehl" w:hAnsi="FrankRuehl" w:cs="FrankRuehl"/>
          <w:b/>
          <w:bCs/>
          <w:sz w:val="28"/>
          <w:szCs w:val="28"/>
          <w:u w:val="single"/>
          <w:rtl/>
        </w:rPr>
      </w:pPr>
      <w:r>
        <w:rPr>
          <w:rFonts w:ascii="FrankRuehl" w:hAnsi="FrankRuehl" w:cs="FrankRuehl"/>
          <w:b/>
          <w:bCs/>
          <w:sz w:val="28"/>
          <w:szCs w:val="28"/>
          <w:u w:val="single"/>
          <w:rtl/>
        </w:rPr>
        <w:t>אחריות המבטחת</w:t>
      </w:r>
    </w:p>
    <w:p w:rsidR="004C3D00" w:rsidRDefault="004C3D00" w:rsidP="004C3D00">
      <w:pPr>
        <w:pStyle w:val="ad"/>
        <w:numPr>
          <w:ilvl w:val="0"/>
          <w:numId w:val="1"/>
        </w:numPr>
        <w:spacing w:after="80" w:line="360" w:lineRule="auto"/>
        <w:contextualSpacing w:val="0"/>
        <w:jc w:val="both"/>
        <w:rPr>
          <w:rFonts w:ascii="FrankRuehl" w:eastAsia="Times New Roman" w:hAnsi="FrankRuehl" w:cs="FrankRuehl"/>
          <w:color w:val="000000"/>
          <w:sz w:val="28"/>
          <w:szCs w:val="28"/>
        </w:rPr>
      </w:pPr>
      <w:r>
        <w:rPr>
          <w:rFonts w:ascii="FrankRuehl" w:eastAsia="Times New Roman" w:hAnsi="FrankRuehl" w:cs="FrankRuehl"/>
          <w:color w:val="000000"/>
          <w:sz w:val="28"/>
          <w:szCs w:val="28"/>
          <w:rtl/>
        </w:rPr>
        <w:t>בהתאם לתנאי הפוליסה בענייננו ולמעשה לנוסח תנאי ביטוח מקובל, הביטוח חל במקרה של "נזק תאונתי". באשר לשאלה מהו אירוע תאונתי לעניין תנאי פוליסה עולות שאלות מורכבות שנידונו בפסיקה (בהקשר זה אפנה לניתוח ב</w:t>
      </w:r>
      <w:r>
        <w:rPr>
          <w:rFonts w:ascii="FrankRuehl" w:hAnsi="FrankRuehl" w:cs="FrankRuehl"/>
          <w:sz w:val="28"/>
          <w:szCs w:val="28"/>
          <w:rtl/>
        </w:rPr>
        <w:t xml:space="preserve">ע"א 5775/02 </w:t>
      </w:r>
      <w:r>
        <w:rPr>
          <w:rFonts w:ascii="Miriam" w:hAnsi="Miriam" w:cs="Miriam"/>
          <w:sz w:val="24"/>
          <w:szCs w:val="24"/>
          <w:rtl/>
        </w:rPr>
        <w:t>נווה גן (א.כ.) בניה פיתוח והשקעות נ' הפניקס הישראלי חברה לביטוח בע"מ</w:t>
      </w:r>
      <w:r>
        <w:rPr>
          <w:rFonts w:ascii="FrankRuehl" w:eastAsia="Times New Roman" w:hAnsi="FrankRuehl" w:cs="FrankRuehl"/>
          <w:color w:val="000000"/>
          <w:sz w:val="28"/>
          <w:szCs w:val="28"/>
          <w:rtl/>
        </w:rPr>
        <w:t xml:space="preserve"> (05.01.2004), פסקה 16).</w:t>
      </w:r>
    </w:p>
    <w:p w:rsidR="004C3D00" w:rsidRDefault="004C3D00" w:rsidP="004C3D00">
      <w:pPr>
        <w:pStyle w:val="ad"/>
        <w:numPr>
          <w:ilvl w:val="0"/>
          <w:numId w:val="1"/>
        </w:numPr>
        <w:spacing w:after="80" w:line="360" w:lineRule="auto"/>
        <w:ind w:left="357" w:hanging="357"/>
        <w:contextualSpacing w:val="0"/>
        <w:jc w:val="both"/>
        <w:rPr>
          <w:rFonts w:ascii="FrankRuehl" w:eastAsia="Times New Roman" w:hAnsi="FrankRuehl" w:cs="FrankRuehl"/>
          <w:color w:val="000000"/>
          <w:sz w:val="28"/>
          <w:szCs w:val="28"/>
          <w:rtl/>
        </w:rPr>
      </w:pPr>
      <w:r>
        <w:rPr>
          <w:rFonts w:ascii="FrankRuehl" w:eastAsia="Times New Roman" w:hAnsi="FrankRuehl" w:cs="FrankRuehl"/>
          <w:color w:val="000000"/>
          <w:sz w:val="28"/>
          <w:szCs w:val="28"/>
          <w:rtl/>
        </w:rPr>
        <w:t>מצב בו מבוטח גורם במכוון נזק לאחר בדרך של תקיפה אלימה (אף אם לא מתוכננת מראש), הוא בעיני, בהגדרה, אירוע מכוון שאינו אירוע תאונתי. בפרט אמורים הדברים לענין פוליסה מעין זו העוסקת בתאונות אישיות ואינה מיועדת לבטח מפני פעולת תקיפה מכוונת של המבוטח. כפי שנפסק</w:t>
      </w:r>
      <w:r>
        <w:rPr>
          <w:rFonts w:ascii="FrankRuehl" w:hAnsi="FrankRuehl" w:cs="FrankRuehl"/>
          <w:color w:val="000000"/>
          <w:spacing w:val="10"/>
          <w:sz w:val="28"/>
          <w:szCs w:val="28"/>
          <w:rtl/>
        </w:rPr>
        <w:t>, "</w:t>
      </w:r>
      <w:r>
        <w:rPr>
          <w:rFonts w:ascii="Miriam" w:hAnsi="Miriam" w:cs="Miriam"/>
          <w:color w:val="000000"/>
          <w:spacing w:val="10"/>
          <w:sz w:val="24"/>
          <w:szCs w:val="24"/>
          <w:rtl/>
        </w:rPr>
        <w:t>תאונה מטבעה אינה אירוע מכוו</w:t>
      </w:r>
      <w:r>
        <w:rPr>
          <w:rFonts w:ascii="Miriam" w:eastAsia="Times New Roman" w:hAnsi="Miriam" w:cs="Miriam"/>
          <w:color w:val="000000"/>
          <w:sz w:val="24"/>
          <w:szCs w:val="24"/>
          <w:rtl/>
        </w:rPr>
        <w:t>ן</w:t>
      </w:r>
      <w:r>
        <w:rPr>
          <w:rFonts w:ascii="FrankRuehl" w:eastAsia="Times New Roman" w:hAnsi="FrankRuehl" w:cs="FrankRuehl"/>
          <w:color w:val="000000"/>
          <w:sz w:val="28"/>
          <w:szCs w:val="28"/>
          <w:rtl/>
        </w:rPr>
        <w:t xml:space="preserve">", ובפרט אמורים הדברים כאשר גורם הנזק הוא המבוטח (רע"א 10142/09 </w:t>
      </w:r>
      <w:r>
        <w:rPr>
          <w:rFonts w:ascii="Miriam" w:eastAsia="Times New Roman" w:hAnsi="Miriam" w:cs="Miriam"/>
          <w:color w:val="000000"/>
          <w:sz w:val="24"/>
          <w:szCs w:val="24"/>
          <w:rtl/>
        </w:rPr>
        <w:t>שמחה כהן נ' הפניקס חברה לביטוח בע"מ</w:t>
      </w:r>
      <w:r>
        <w:rPr>
          <w:rFonts w:ascii="FrankRuehl" w:eastAsia="Times New Roman" w:hAnsi="FrankRuehl" w:cs="FrankRuehl"/>
          <w:color w:val="000000"/>
          <w:sz w:val="28"/>
          <w:szCs w:val="28"/>
          <w:rtl/>
        </w:rPr>
        <w:t xml:space="preserve"> (22.01.2012)‏‏,  בפסקה 7 וההפניות שם; ראו גם סעיף 26 חוק חוזה הביטוח, תשמ"א-1981 ועקרון היסוד יסודי בדיני ביטוח שלפיו אם נגרם מקרה הביטוח במכוון בידי המבוטח, פטור המבטח מחבותו).</w:t>
      </w:r>
    </w:p>
    <w:p w:rsidR="00CC1887" w:rsidRDefault="004C3D00" w:rsidP="00CC1887">
      <w:pPr>
        <w:pStyle w:val="ad"/>
        <w:numPr>
          <w:ilvl w:val="0"/>
          <w:numId w:val="1"/>
        </w:numPr>
        <w:spacing w:after="80" w:line="360" w:lineRule="auto"/>
        <w:contextualSpacing w:val="0"/>
        <w:jc w:val="both"/>
        <w:rPr>
          <w:rFonts w:ascii="FrankRuehl" w:hAnsi="FrankRuehl" w:cs="FrankRuehl"/>
          <w:spacing w:val="-2"/>
          <w:sz w:val="28"/>
          <w:szCs w:val="28"/>
        </w:rPr>
      </w:pPr>
      <w:r w:rsidRPr="004C3D00">
        <w:rPr>
          <w:rFonts w:ascii="FrankRuehl" w:hAnsi="FrankRuehl" w:cs="FrankRuehl"/>
          <w:spacing w:val="-2"/>
          <w:sz w:val="28"/>
          <w:szCs w:val="28"/>
          <w:rtl/>
        </w:rPr>
        <w:t xml:space="preserve">לפיכך מקרה התקיפה שלפני אינו </w:t>
      </w:r>
      <w:r>
        <w:rPr>
          <w:rFonts w:ascii="FrankRuehl" w:hAnsi="FrankRuehl" w:cs="FrankRuehl" w:hint="cs"/>
          <w:spacing w:val="-2"/>
          <w:sz w:val="28"/>
          <w:szCs w:val="28"/>
          <w:rtl/>
        </w:rPr>
        <w:t>בבחינת</w:t>
      </w:r>
      <w:r w:rsidR="00CC1887">
        <w:rPr>
          <w:rFonts w:ascii="FrankRuehl" w:hAnsi="FrankRuehl" w:cs="FrankRuehl" w:hint="cs"/>
          <w:spacing w:val="-2"/>
          <w:sz w:val="28"/>
          <w:szCs w:val="28"/>
          <w:rtl/>
        </w:rPr>
        <w:t xml:space="preserve"> אירוע תאונתי, הביטוח אינו חל ומכאן שדין התביעה בעניינה של הנתבעת 4 להידחות. </w:t>
      </w:r>
    </w:p>
    <w:p w:rsidR="004C3D00" w:rsidRPr="004C3D00" w:rsidRDefault="004C3D00" w:rsidP="004C3D00">
      <w:pPr>
        <w:spacing w:after="80" w:line="360" w:lineRule="auto"/>
        <w:jc w:val="both"/>
        <w:rPr>
          <w:rFonts w:ascii="FrankRuehl" w:hAnsi="FrankRuehl" w:cs="FrankRuehl"/>
          <w:sz w:val="28"/>
          <w:szCs w:val="28"/>
          <w:u w:val="single"/>
        </w:rPr>
      </w:pPr>
      <w:r w:rsidRPr="004C3D00">
        <w:rPr>
          <w:rFonts w:ascii="FrankRuehl" w:hAnsi="FrankRuehl" w:cs="FrankRuehl"/>
          <w:sz w:val="28"/>
          <w:szCs w:val="28"/>
          <w:u w:val="single"/>
          <w:rtl/>
        </w:rPr>
        <w:lastRenderedPageBreak/>
        <w:t>אחריות ההורים</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tl/>
        </w:rPr>
      </w:pPr>
      <w:r>
        <w:rPr>
          <w:rFonts w:ascii="FrankRuehl" w:hAnsi="FrankRuehl" w:cs="FrankRuehl"/>
          <w:sz w:val="28"/>
          <w:szCs w:val="28"/>
          <w:rtl/>
        </w:rPr>
        <w:t>בכתב התביעה נטען כי אחריות ההורים נובעת מכך שהיה עליהם לדעת את "המסוכנות" הנובעת מבנם, וזאת נוכח "דפוס מדאיג של התנהגות סוטה ואנטי חברתית" ול"אור אופיו האלים והפרוע". טענות אלה לא זאת בלבד שלא הוכחו, אלא שבסיכומו של יום התברר כי לתובע אין כל טענה בדבר אירוע אלים שקדם לאירוע. ענייננו בנתבע שלגביו לא נטען למעורבות קודמת באירועי תקיפה או אירועים דומים, וכאשר גם לאחר האירוע לא נטען לכך. מהראיות שלפני עולה אפוא שמדובר באירוע אלימות חמור ומצער, אך יחד עם זאת חד פעמי (לא נטען לאירועי אלימות קודמים ובשנים שחלפו מהאירוע סיים התובע שירות בצה"ל כקצין בשירות קרבי).</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tl/>
        </w:rPr>
      </w:pPr>
      <w:r>
        <w:rPr>
          <w:rFonts w:ascii="FrankRuehl" w:hAnsi="FrankRuehl" w:cs="FrankRuehl"/>
          <w:sz w:val="28"/>
          <w:szCs w:val="28"/>
          <w:rtl/>
        </w:rPr>
        <w:t xml:space="preserve">להשלמת התמונה אתייחס להודעת הנתבע במשטרה, אשר ב"כ התובע ביקש להתבסס עליה כראיה (יחידה) לענין טענותיו (ת/3, הוגש במהלך דיון ההוכחות וכחלק מחקירתו הנגדית של הנתבע). בהודעה זו ניסה הנתבע להסביר את האירוע גם על דרך של קושי התנהגותי, על רקע הפסקת טיפול תורפתי בהפרעת קשב וריכוז.  לטענת ב"כ התובע בכך יש כדי לבסס את אחריות הנתבעים 2,3 שכן הנתבע ציין בהודעתו ש"אפילו הוריו הרגישו בשינוי התנהגותי". ראשית אציין כי הנתבע הסביר שהאמירה כוונה לגבי התנהגותו באירוע מושא התיק ולאחריו, והוסיף כי בתקופה זו הוא סיים את הבגרויות, החליט שאין לו צורך בטיפול קשב וריכוז וכלל לא שיתף את הוריו בכך. על רקע זה אין כל בסיס מוכח לטענת התובע. </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 xml:space="preserve">אוסיף כי בכל מקרה איני סבור שקמה חובת זהירות קונקרטית במצב מעין זה ולגבי פעילות חברתית שגרתית של נער בן 17שלא ארעו בעברו כל אירועי אלימות. אכן, הן הנתבע והן התובע היו קטינים בעת האירוע ובנסיבות מסויימות תיתכן הטלת אחריות על ההורים בגין נזקים שגרמו ילדיהם הקטינים. עם זאת אין מדובר באחריות שילוחית ועל הטוען לה, מכוח עוולת הרשלנות, להוכיח שההורה לא נהג במידת הזהירות הרגילה של הורה סביר (ע"א 290/68 </w:t>
      </w:r>
      <w:r>
        <w:rPr>
          <w:rFonts w:ascii="Miriam" w:hAnsi="Miriam" w:cs="Miriam"/>
          <w:sz w:val="24"/>
          <w:szCs w:val="24"/>
          <w:rtl/>
        </w:rPr>
        <w:t>אריאלי נ' צינק,</w:t>
      </w:r>
      <w:r>
        <w:rPr>
          <w:rFonts w:ascii="FrankRuehl" w:hAnsi="FrankRuehl" w:cs="FrankRuehl"/>
          <w:sz w:val="28"/>
          <w:szCs w:val="28"/>
          <w:rtl/>
        </w:rPr>
        <w:t xml:space="preserve"> פ"ד כב(2) 645), וראו להרחבה  </w:t>
      </w:r>
      <w:r>
        <w:rPr>
          <w:rFonts w:ascii="FrankRuehl" w:hAnsi="FrankRuehl" w:cs="FrankRuehl"/>
          <w:color w:val="000000"/>
          <w:sz w:val="28"/>
          <w:szCs w:val="28"/>
          <w:rtl/>
        </w:rPr>
        <w:t xml:space="preserve">תא (י-ם) 5064/03 </w:t>
      </w:r>
      <w:r>
        <w:rPr>
          <w:rFonts w:ascii="Miriam" w:hAnsi="Miriam" w:cs="Miriam"/>
          <w:color w:val="000000"/>
          <w:sz w:val="24"/>
          <w:szCs w:val="24"/>
          <w:rtl/>
        </w:rPr>
        <w:t>יחזקאל שמואל נ' גד שרלין</w:t>
      </w:r>
      <w:r>
        <w:rPr>
          <w:rFonts w:ascii="FrankRuehl" w:hAnsi="FrankRuehl" w:cs="FrankRuehl"/>
          <w:color w:val="000000"/>
          <w:sz w:val="28"/>
          <w:szCs w:val="28"/>
          <w:rtl/>
        </w:rPr>
        <w:t>, 18.5.2008 ב</w:t>
      </w:r>
      <w:r>
        <w:rPr>
          <w:rFonts w:ascii="FrankRuehl" w:hAnsi="FrankRuehl" w:cs="FrankRuehl"/>
          <w:sz w:val="28"/>
          <w:szCs w:val="28"/>
          <w:rtl/>
        </w:rPr>
        <w:t xml:space="preserve">פסקה 43 והאזכורים שם). בענייננו מובן שיש חשיבות לגילם של הצדדים, אשר היו על סף בגירות. למעשה התובע שהה בישראל בלי הוריו לתקופה ממושכת ודבר זה מקובל בגילאים מעין אלה ומבסס את הקושי בטענתו לגבי אחריות הורי הנתבע. </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lastRenderedPageBreak/>
        <w:t>מכל מקום, הטענה לאחריות הנתבעים 2,3 לאירוע לא בוססה בראיה כלשהי שהוגשה טרם דיון ההוכחות. מכאן גם שלא מצאתי קושי בכך שהנתבעים 2,3 לא הגישו תצהירי עדות ראשית מטעמם.</w:t>
      </w:r>
    </w:p>
    <w:p w:rsidR="004C3D00" w:rsidRDefault="004C3D00" w:rsidP="004C3D00">
      <w:pPr>
        <w:spacing w:after="80" w:line="360" w:lineRule="auto"/>
        <w:jc w:val="both"/>
        <w:rPr>
          <w:rFonts w:ascii="FrankRuehl" w:hAnsi="FrankRuehl" w:cs="FrankRuehl"/>
          <w:sz w:val="28"/>
          <w:szCs w:val="28"/>
          <w:u w:val="single"/>
          <w:rtl/>
        </w:rPr>
      </w:pPr>
      <w:r>
        <w:rPr>
          <w:rFonts w:ascii="FrankRuehl" w:hAnsi="FrankRuehl" w:cs="FrankRuehl"/>
          <w:sz w:val="28"/>
          <w:szCs w:val="28"/>
          <w:u w:val="single"/>
          <w:rtl/>
        </w:rPr>
        <w:t>סיכום הדיון בסוגיית החבות</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tl/>
        </w:rPr>
      </w:pPr>
      <w:r>
        <w:rPr>
          <w:rFonts w:ascii="FrankRuehl" w:hAnsi="FrankRuehl" w:cs="FrankRuehl"/>
          <w:sz w:val="28"/>
          <w:szCs w:val="28"/>
          <w:rtl/>
        </w:rPr>
        <w:t xml:space="preserve">לאור האמור קמה אחריות בנזיקין לנתבע בגין עוולת התקיפה. דין התביעה בעניינם של הנתבעים 2-4 להידחות בהעדר חבות. לאור קביעה זו יש לדון בסוגיית הנזק.  </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בשים לב לכך שמצאתי שהבסיס לאחריות הוא עוולת תקיפה שבוצעה כאשר התובע הוא קטין וכן לכך שבמסגרת ההליך נדונו טענות הנוגעות לטיפול תרופתי בהפרעות קשב וריכוז, אני מקבל את בקשת הנתבע ומורה כי החלטת הביניים בה הוריתי על ניהול התיק בדלתיים סגורות, תיוותר על כנה.</w:t>
      </w:r>
    </w:p>
    <w:p w:rsidR="004C3D00" w:rsidRDefault="004C3D00" w:rsidP="004C3D00">
      <w:pPr>
        <w:spacing w:after="80" w:line="360" w:lineRule="auto"/>
        <w:jc w:val="both"/>
        <w:rPr>
          <w:rFonts w:ascii="FrankRuehl" w:hAnsi="FrankRuehl" w:cs="FrankRuehl"/>
          <w:sz w:val="28"/>
          <w:szCs w:val="28"/>
          <w:u w:val="single"/>
        </w:rPr>
      </w:pPr>
      <w:r>
        <w:rPr>
          <w:rFonts w:ascii="FrankRuehl" w:hAnsi="FrankRuehl" w:cs="FrankRuehl"/>
          <w:sz w:val="28"/>
          <w:szCs w:val="28"/>
          <w:u w:val="single"/>
          <w:rtl/>
        </w:rPr>
        <w:t>סוגיית הנזק</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tl/>
        </w:rPr>
      </w:pPr>
      <w:r>
        <w:rPr>
          <w:rFonts w:ascii="FrankRuehl" w:hAnsi="FrankRuehl" w:cs="FrankRuehl"/>
          <w:sz w:val="28"/>
          <w:szCs w:val="28"/>
          <w:rtl/>
        </w:rPr>
        <w:t>בהקשר זה תידון תחילה הסוגייה המרכזית המתעוררת בתיק זה – שאלת הקשר הסיבתי בין הנכות הצמיתה של התובע בצווארו, ובין אירוע התקיפה.</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tl/>
        </w:rPr>
      </w:pPr>
      <w:r>
        <w:rPr>
          <w:rFonts w:ascii="FrankRuehl" w:hAnsi="FrankRuehl" w:cs="FrankRuehl"/>
          <w:sz w:val="28"/>
          <w:szCs w:val="28"/>
          <w:rtl/>
        </w:rPr>
        <w:t>לאחר אירוע התקיפה ביולי 2012, המשיך התובע בשהותו בישראל, השלים את תכנית ההתנדבות והתכנית הלימודית וחזר לארצות הברית. בתקופה הראשונה היה אפו חבוש. הרופאים המליצו כי ניתוח השיקום יתבצע בשלב מאוחר יותר וכעבור מספר חודשים. בחודש פברואר 2023 עבר התובע ניתוח מוצלח באפו ואין מחלוקת שלא נותרה נכות צמיתה בשל כך.</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 xml:space="preserve">בחודש נובמבר 2014 עבר התובע בדיקת </w:t>
      </w:r>
      <w:r>
        <w:rPr>
          <w:rFonts w:ascii="FrankRuehl" w:hAnsi="FrankRuehl" w:cs="FrankRuehl"/>
          <w:sz w:val="28"/>
          <w:szCs w:val="28"/>
        </w:rPr>
        <w:t>MRI</w:t>
      </w:r>
      <w:r>
        <w:rPr>
          <w:rFonts w:ascii="FrankRuehl" w:hAnsi="FrankRuehl" w:cs="FrankRuehl"/>
          <w:sz w:val="28"/>
          <w:szCs w:val="28"/>
          <w:rtl/>
        </w:rPr>
        <w:t xml:space="preserve"> ואותרה פגיעה בעמוד השדרה הצווארי. התביעה שלפניי הוגשה בחודש דצמבר 2017 ובמסגרתה נטען לנכות משמעותית (20%) ומגבילה הנובעת מאירוע התקיפה. לטענת התובע כתוצאה מכך הוא מוגבל בפעילותיו, הישגיו בלימודים נפגעו וכך גם אורח חייו וכן נפגעה כושר ההשתכרות שלו כרופא לעתיד. עם זאת אין חולק כי לאורך השנים המשיך התובע את אורח חייו, לרבות פעילויות ספורט אתגרי, וכן סיים תואר ראשון והמשיך ללימודי רפואה, ובעת הזו נמצא התובע בשלב מתקדם בלימודיו ומתעתד להיות רופא אורתופד. </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lastRenderedPageBreak/>
        <w:t xml:space="preserve">באשר לנכות הרפואית ולאור מחלוקת בהקשר זה בין המומחים מטעם הצדדים, מונה פרופ' פייזר כמומחה מטעם בית המשפט. פרופסור פייזר בדק את הנתבע ביום 11.7.2019. בהתאם לחוות דעתו ובגין הגבלה מזערית בתנועות הצוואר יש לייחס לתובע נכות צמיתה בגובה 5%. </w:t>
      </w:r>
    </w:p>
    <w:p w:rsidR="004C3D00" w:rsidRDefault="004C3D00" w:rsidP="004C3D00">
      <w:pPr>
        <w:spacing w:after="80" w:line="360" w:lineRule="auto"/>
        <w:jc w:val="both"/>
        <w:rPr>
          <w:rFonts w:ascii="FrankRuehl" w:hAnsi="FrankRuehl" w:cs="FrankRuehl"/>
          <w:sz w:val="28"/>
          <w:szCs w:val="28"/>
          <w:u w:val="single"/>
          <w:rtl/>
        </w:rPr>
      </w:pPr>
      <w:r>
        <w:rPr>
          <w:rFonts w:ascii="FrankRuehl" w:hAnsi="FrankRuehl" w:cs="FrankRuehl"/>
          <w:sz w:val="28"/>
          <w:szCs w:val="28"/>
          <w:u w:val="single"/>
          <w:rtl/>
        </w:rPr>
        <w:t>שאלת הקשר הסיבתי בין האירוע לנזק בצוואר:</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tl/>
        </w:rPr>
      </w:pPr>
      <w:r>
        <w:rPr>
          <w:rFonts w:ascii="FrankRuehl" w:hAnsi="FrankRuehl" w:cs="FrankRuehl"/>
          <w:sz w:val="28"/>
          <w:szCs w:val="28"/>
          <w:rtl/>
        </w:rPr>
        <w:t xml:space="preserve">הן המומחה מטעם התובע והן המומחה מטעם הנתבעת 4 מצאו כי מההדמיות שבוצעו לא עולה הוכחה ברורה לקשר בין אירוע התקיפה לנזק. בעוד המומחה מטעם הנתבעת הסיק מכך כי אין קשר סיבתי, סבר המומחה מטעם התובע שבמכלול הנסיבות קיים קשר סיבתי. </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פרופ' פייזר, מומחה בית המשפט, עמד בחוות דעתו על הקושי להכריע בסוגיה זו נוכח תסמינים שהורגשו, לטענת התובע בפניו, רק כעבור שנה מהאירוע. עם זאת ונוכח התיאור שתיאר התובע לפני המומחה (תנועת צוואר לאחור כמעין צליפת שוט), הממצאים הרפואיים שאינם אופיינים לגיל והעדר תיעוד רפואי רלוונטי המצביע על הסבר אחר, ו"מחמת הספק", נקבע בחוות הדעת קשר סיבתי בין האירוע לנזק.</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 xml:space="preserve">בעדותו ציין המומחה שמדובר במקרה בו קיים חוסר ידע רפואי ולמעשה מדובר "בלאקונה" בתחום הרפואי. פרופ' פייזר העיד כי בדרך כלל סימפטולוגיה מופיע בסמיכות לאירוע והוסיף  שתיתכן החמרה עם הזמן. המומחה הסביר כי במרבית המכרעת של המקרים (80,90%) מופיעים סימפטומים מיד או תוך שבועות, אך ייתכן עיכוב במקרה של פגיעה באזור נוסף  (עמ' 37, ש' 3-22). כן הסביר המומחה שבמקרה של הופעת סימפטומים נטענים אחרי שלושה חודשים עד חצי שנה "הקשר הולך ומתרופף" (עמ' 38, ש' 9-14). </w:t>
      </w:r>
    </w:p>
    <w:p w:rsidR="004C3D00" w:rsidRDefault="004C3D00" w:rsidP="004C3D00">
      <w:pPr>
        <w:pStyle w:val="ad"/>
        <w:spacing w:after="80" w:line="360" w:lineRule="auto"/>
        <w:ind w:left="360"/>
        <w:contextualSpacing w:val="0"/>
        <w:jc w:val="both"/>
        <w:rPr>
          <w:rFonts w:ascii="FrankRuehl" w:hAnsi="FrankRuehl" w:cs="FrankRuehl"/>
          <w:sz w:val="28"/>
          <w:szCs w:val="28"/>
        </w:rPr>
      </w:pPr>
      <w:r>
        <w:rPr>
          <w:rFonts w:ascii="FrankRuehl" w:hAnsi="FrankRuehl" w:cs="FrankRuehl"/>
          <w:sz w:val="28"/>
          <w:szCs w:val="28"/>
          <w:rtl/>
        </w:rPr>
        <w:t xml:space="preserve">בענייננו, ציין המומחה שקיים פער גדול במישור הזמן בין האירוע לתלונות ולכן מדובר במקרה קשה "באזור דמדומים" והוא קיבל את הקשר הסיבתי "בדוחק". עוד ציין כי במקרה בו הפניה לרופא היתה אחרי שנה מאירוע שנטען כי הוא הגורם לנזק, הקשר הוא "בינוני עד חלש" (עמ' 38, 28-33). כאשר הופנה לכך כי בענייננו התלונה הראשונה בפני רופא היתה בהתאם לעדות התובע רק לאחר שנתיים, השיב שאכן קיים קושי, ספק ולאקונה בידע (עמ' 39, ש' 8-23). על אף זאת לא שינה המומחה את הערכתו שלפיה נכון לקשר את הנזק לאירוע התקיפה (עמ' 70), תוך שהוא שב ומדגיש כי מדובר במקרה קשה ובלשונו: "זה מאוד מאוד בקצה של המנעד הסביר שחבלת אגרוף יכולה לגרום לזה" (כן הוסיף שאין באפשרותו להציע לבית המשפט "כלים להכרעה", עמ' 70, ש' 9-16). </w:t>
      </w:r>
    </w:p>
    <w:p w:rsidR="004C3D00" w:rsidRDefault="004C3D00" w:rsidP="004C3D00">
      <w:pPr>
        <w:pStyle w:val="ad"/>
        <w:numPr>
          <w:ilvl w:val="0"/>
          <w:numId w:val="1"/>
        </w:numPr>
        <w:spacing w:after="80" w:line="360" w:lineRule="auto"/>
        <w:contextualSpacing w:val="0"/>
        <w:jc w:val="both"/>
        <w:rPr>
          <w:rFonts w:ascii="FrankRuehl" w:hAnsi="FrankRuehl" w:cs="FrankRuehl"/>
          <w:spacing w:val="-3"/>
          <w:sz w:val="28"/>
          <w:szCs w:val="28"/>
        </w:rPr>
      </w:pPr>
      <w:r>
        <w:rPr>
          <w:rFonts w:ascii="FrankRuehl" w:hAnsi="FrankRuehl" w:cs="FrankRuehl"/>
          <w:spacing w:val="-3"/>
          <w:sz w:val="28"/>
          <w:szCs w:val="28"/>
          <w:rtl/>
        </w:rPr>
        <w:lastRenderedPageBreak/>
        <w:t>במהלך עדותו הוצג בפני המומחה מחקר שלא הכיר ואותו מצא המומחה רלוונטי וחשוב. מדובר במחקר רפואי מקיף בו נבדקו מקרים רבים של פגיעה באירוע תקיפה באזור הפנים, שהמומחה מצא כדומה מאוד לענייננו. מסקנת המחקר היא כי רק במיעוט קטן של המקרים (0 עד 1%) אובחנה הפגיעה ממנה סובל התובע (</w:t>
      </w:r>
      <w:r>
        <w:rPr>
          <w:rFonts w:ascii="FrankRuehl" w:hAnsi="FrankRuehl" w:cs="FrankRuehl"/>
          <w:spacing w:val="-3"/>
          <w:sz w:val="28"/>
          <w:szCs w:val="28"/>
        </w:rPr>
        <w:t>CSI</w:t>
      </w:r>
      <w:r>
        <w:rPr>
          <w:rFonts w:ascii="FrankRuehl" w:hAnsi="FrankRuehl" w:cs="FrankRuehl"/>
          <w:spacing w:val="-3"/>
          <w:sz w:val="28"/>
          <w:szCs w:val="28"/>
          <w:rtl/>
        </w:rPr>
        <w:t xml:space="preserve"> עקב "צליפת צוואר" הנובעת מאירוע תקיפה). למעשה מסקנת המחקר היא שלא נמצאה קורלציה בין חבלת הפנים ובין הפגיעה והומלץ לבחון במקרים אלה את מנגנון הנפילה לאחור, אם היתה (עדות המומחה בעמ' 50-53, נ/2 -</w:t>
      </w:r>
      <w:r>
        <w:rPr>
          <w:rFonts w:ascii="FrankRuehl" w:hAnsi="FrankRuehl" w:cs="FrankRuehl"/>
          <w:spacing w:val="-3"/>
          <w:sz w:val="28"/>
          <w:szCs w:val="28"/>
        </w:rPr>
        <w:t xml:space="preserve"> Incidence and Pattern of cervical spine injury in blunt assault: It is not how they are hit, but how they fall, Journal of Trauma, </w:t>
      </w:r>
      <w:r>
        <w:rPr>
          <w:rFonts w:ascii="FrankRuehl" w:hAnsi="FrankRuehl" w:cs="FrankRuehl"/>
          <w:color w:val="5B616B"/>
          <w:spacing w:val="-3"/>
          <w:sz w:val="28"/>
          <w:szCs w:val="28"/>
          <w:shd w:val="clear" w:color="auto" w:fill="FFFFFF"/>
        </w:rPr>
        <w:t>2012 Jan;72(1):271-5</w:t>
      </w:r>
      <w:r>
        <w:rPr>
          <w:rFonts w:ascii="FrankRuehl" w:hAnsi="FrankRuehl" w:cs="FrankRuehl"/>
          <w:spacing w:val="-3"/>
          <w:sz w:val="28"/>
          <w:szCs w:val="28"/>
          <w:rtl/>
        </w:rPr>
        <w:t xml:space="preserve">). </w:t>
      </w:r>
    </w:p>
    <w:p w:rsidR="004C3D00" w:rsidRDefault="004C3D00" w:rsidP="004C3D00">
      <w:pPr>
        <w:pStyle w:val="ad"/>
        <w:spacing w:after="80" w:line="360" w:lineRule="auto"/>
        <w:ind w:left="360"/>
        <w:contextualSpacing w:val="0"/>
        <w:jc w:val="both"/>
        <w:rPr>
          <w:rFonts w:ascii="FrankRuehl" w:hAnsi="FrankRuehl" w:cs="FrankRuehl"/>
          <w:sz w:val="28"/>
          <w:szCs w:val="28"/>
        </w:rPr>
      </w:pPr>
      <w:r>
        <w:rPr>
          <w:rFonts w:ascii="FrankRuehl" w:hAnsi="FrankRuehl" w:cs="FrankRuehl"/>
          <w:sz w:val="28"/>
          <w:szCs w:val="28"/>
          <w:rtl/>
        </w:rPr>
        <w:t xml:space="preserve">המומחה אישר את רלוונטיות המחקר לענייננו ואת הקושי העולה ממנו בהקשר לטענת התובע בענייננו, מאחר שעל פי המחקר הסבירות לקשר סיבתי בין הנזק בצוואר לחבלה נמוך מ-1% (עמ' 56, 13-23, עמ' 53, ש' 1-9; המומחה סייג וציין שהמחקר התבצע על בסיס בדיקות </w:t>
      </w:r>
      <w:r>
        <w:rPr>
          <w:rFonts w:ascii="FrankRuehl" w:hAnsi="FrankRuehl" w:cs="FrankRuehl"/>
          <w:sz w:val="28"/>
          <w:szCs w:val="28"/>
        </w:rPr>
        <w:t>CT</w:t>
      </w:r>
      <w:r>
        <w:rPr>
          <w:rFonts w:ascii="FrankRuehl" w:hAnsi="FrankRuehl" w:cs="FrankRuehl"/>
          <w:sz w:val="28"/>
          <w:szCs w:val="28"/>
          <w:rtl/>
        </w:rPr>
        <w:t xml:space="preserve"> ולא בדיקות </w:t>
      </w:r>
      <w:r>
        <w:rPr>
          <w:rFonts w:ascii="FrankRuehl" w:hAnsi="FrankRuehl" w:cs="FrankRuehl"/>
          <w:sz w:val="28"/>
          <w:szCs w:val="28"/>
        </w:rPr>
        <w:t>MRI</w:t>
      </w:r>
      <w:r>
        <w:rPr>
          <w:rFonts w:ascii="FrankRuehl" w:hAnsi="FrankRuehl" w:cs="FrankRuehl"/>
          <w:sz w:val="28"/>
          <w:szCs w:val="28"/>
          <w:rtl/>
        </w:rPr>
        <w:t xml:space="preserve">). </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אקדים ואציין כי בהיבטים המקצועיים-רפואיים אני מקבל במלואה את עדותו של המומחה וחוות דעתו ולמעשה נראה שב"כ הצדדים בסיכומיהם לא חלקו על כך. במסגרת זו יש למנות את חוות הדעת בדבר מצבו של הנתבע בעת הבדיקה והנכות שנקבעה נכון לעריכתה. באשר לשאלת הקשר הסיבתי, פרט פרופ' פייזר במהלך עדותו את השיקולים הרפואיים השונים העולים ואת הקושי בהכרעה, כפי שצוין לעיל, ולכך אתייחס גם בהמשך.</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 xml:space="preserve">טרם אתייחס לשיקולים המורכבים העולים בהקשר זה – הן השיקולים התומכים בקשר סיבתי והן השיקולים שכנגד – נכון להכריע בשתי מחלוקות עובדתיות רלוונטיות: האחת בהקשר למנגנון הפגיעה עקב הבעיטה, והשניה בהקשר למועד בו הופיעו הסימפטומים בהקשר לנזק בצוואר. </w:t>
      </w:r>
    </w:p>
    <w:p w:rsidR="004C3D00" w:rsidRDefault="004C3D00" w:rsidP="004C3D00">
      <w:pPr>
        <w:pStyle w:val="ad"/>
        <w:numPr>
          <w:ilvl w:val="0"/>
          <w:numId w:val="1"/>
        </w:numPr>
        <w:spacing w:after="80" w:line="360" w:lineRule="auto"/>
        <w:ind w:left="357" w:hanging="357"/>
        <w:contextualSpacing w:val="0"/>
        <w:jc w:val="both"/>
        <w:rPr>
          <w:rFonts w:ascii="FrankRuehl" w:hAnsi="FrankRuehl" w:cs="FrankRuehl"/>
          <w:sz w:val="28"/>
          <w:szCs w:val="28"/>
        </w:rPr>
      </w:pPr>
      <w:r>
        <w:rPr>
          <w:rFonts w:ascii="FrankRuehl" w:hAnsi="FrankRuehl" w:cs="FrankRuehl"/>
          <w:sz w:val="28"/>
          <w:szCs w:val="28"/>
          <w:u w:val="single"/>
          <w:rtl/>
        </w:rPr>
        <w:t>מועד הופעת הסימפטומים</w:t>
      </w:r>
      <w:r>
        <w:rPr>
          <w:rFonts w:ascii="FrankRuehl" w:hAnsi="FrankRuehl" w:cs="FrankRuehl"/>
          <w:sz w:val="28"/>
          <w:szCs w:val="28"/>
          <w:rtl/>
        </w:rPr>
        <w:t xml:space="preserve">: כפי שיפורט להלן מצאתי כי קיימים פערים בעדות התובע בהקשר זה. </w:t>
      </w:r>
    </w:p>
    <w:p w:rsidR="004C3D00" w:rsidRDefault="004C3D00" w:rsidP="004C3D00">
      <w:pPr>
        <w:pStyle w:val="ad"/>
        <w:spacing w:after="80" w:line="360" w:lineRule="auto"/>
        <w:ind w:left="357"/>
        <w:contextualSpacing w:val="0"/>
        <w:jc w:val="both"/>
        <w:rPr>
          <w:rFonts w:ascii="FrankRuehl" w:hAnsi="FrankRuehl" w:cs="FrankRuehl"/>
          <w:sz w:val="28"/>
          <w:szCs w:val="28"/>
        </w:rPr>
      </w:pPr>
      <w:r>
        <w:rPr>
          <w:rFonts w:ascii="FrankRuehl" w:hAnsi="FrankRuehl" w:cs="FrankRuehl"/>
          <w:sz w:val="28"/>
          <w:szCs w:val="28"/>
          <w:rtl/>
        </w:rPr>
        <w:t xml:space="preserve">בתצהיר העדות הראשית של התובע נכתב כי "לכל אורך הזמן סבלתי מכאבים עזים וממגבלות קשות בעורף, בכתפיים, בשכמות ובגב" (סעיף 35 לתצהיר). בהתאם לעדות זו "איפה שלא הייתי, תמיד המשכתי לסבול ולכן בכל הזדמנות התייעצתי עם מומחה ארותופדים ונורו-כירורגים לשם קבלת אבחון, סיוע וייעוץ" (שגיאת הנוסח במקור). כן ציין </w:t>
      </w:r>
      <w:r>
        <w:rPr>
          <w:rFonts w:ascii="FrankRuehl" w:hAnsi="FrankRuehl" w:cs="FrankRuehl"/>
          <w:sz w:val="28"/>
          <w:szCs w:val="28"/>
          <w:rtl/>
        </w:rPr>
        <w:lastRenderedPageBreak/>
        <w:t xml:space="preserve">התובע בתצהירו כי בתחילה עבר טיפול תרופתי אנטי-דלקתי ושמזה לא סייע בוצעה בדיקת </w:t>
      </w:r>
      <w:r>
        <w:rPr>
          <w:rFonts w:ascii="FrankRuehl" w:hAnsi="FrankRuehl" w:cs="FrankRuehl"/>
          <w:sz w:val="28"/>
          <w:szCs w:val="28"/>
        </w:rPr>
        <w:t>MRI</w:t>
      </w:r>
      <w:r>
        <w:rPr>
          <w:rFonts w:ascii="FrankRuehl" w:hAnsi="FrankRuehl" w:cs="FrankRuehl"/>
          <w:sz w:val="28"/>
          <w:szCs w:val="28"/>
          <w:rtl/>
        </w:rPr>
        <w:t>. התובע לא ציין מועדים בתצהירו וקשה ללמוד מנוסח עמום זה, שנכתב תשע שנים לאחר התאונה, מתי הופיע הסימפטומים לראשונה. עם זאת ניתן להסיק שהתובע פנה לרופאים "אורתופדים ונורו-כירורגים" עוד טרם ביצוע בדיקת ה</w:t>
      </w:r>
      <w:r>
        <w:rPr>
          <w:rFonts w:ascii="FrankRuehl" w:hAnsi="FrankRuehl" w:cs="FrankRuehl"/>
          <w:sz w:val="28"/>
          <w:szCs w:val="28"/>
        </w:rPr>
        <w:t>MRI</w:t>
      </w:r>
      <w:r>
        <w:rPr>
          <w:rFonts w:ascii="FrankRuehl" w:hAnsi="FrankRuehl" w:cs="FrankRuehl"/>
          <w:sz w:val="28"/>
          <w:szCs w:val="28"/>
          <w:rtl/>
        </w:rPr>
        <w:t xml:space="preserve"> ביום 3.11.2014, ואף קיבל טיפול שלא סייע טרם ההפניה לבדיקה זו. </w:t>
      </w:r>
    </w:p>
    <w:p w:rsidR="004C3D00" w:rsidRDefault="004C3D00" w:rsidP="004C3D00">
      <w:pPr>
        <w:pStyle w:val="ad"/>
        <w:spacing w:after="80" w:line="360" w:lineRule="auto"/>
        <w:ind w:left="360"/>
        <w:contextualSpacing w:val="0"/>
        <w:jc w:val="both"/>
        <w:rPr>
          <w:rFonts w:ascii="FrankRuehl" w:hAnsi="FrankRuehl" w:cs="FrankRuehl"/>
          <w:sz w:val="28"/>
          <w:szCs w:val="28"/>
          <w:rtl/>
        </w:rPr>
      </w:pPr>
      <w:r>
        <w:rPr>
          <w:rFonts w:ascii="FrankRuehl" w:hAnsi="FrankRuehl" w:cs="FrankRuehl"/>
          <w:sz w:val="28"/>
          <w:szCs w:val="28"/>
          <w:rtl/>
        </w:rPr>
        <w:t xml:space="preserve">למומחים – הן פרופ' אירי שבדק אותו עוד בחודש יולי 2015 (נספח ה' לחוו"ד סוכר), והן בבדיקה על-ידי המומחה מטעם בית המשפט בשנת 2019, סיפר התובע כי "כשנה לאחר האירוע" החל להרגיש בכאבים באזור הצוואר. יצוין שהתובע לא פרט בפני המומחה ולא הציג מסמכים רפואיים בדבר בדיקות וטיפולים קודמים והמסמכים הרפואיים הרלוונטים לפגיעה בצוואר בתיק הם רק החל ממועד בדיקת </w:t>
      </w:r>
      <w:r>
        <w:rPr>
          <w:rFonts w:ascii="FrankRuehl" w:hAnsi="FrankRuehl" w:cs="FrankRuehl"/>
          <w:sz w:val="28"/>
          <w:szCs w:val="28"/>
        </w:rPr>
        <w:t>MRI</w:t>
      </w:r>
      <w:r>
        <w:rPr>
          <w:rFonts w:ascii="FrankRuehl" w:hAnsi="FrankRuehl" w:cs="FrankRuehl"/>
          <w:sz w:val="28"/>
          <w:szCs w:val="28"/>
          <w:rtl/>
        </w:rPr>
        <w:t xml:space="preserve"> (3.11.2014).</w:t>
      </w:r>
    </w:p>
    <w:p w:rsidR="004C3D00" w:rsidRDefault="004C3D00" w:rsidP="004C3D00">
      <w:pPr>
        <w:pStyle w:val="ad"/>
        <w:spacing w:after="80" w:line="360" w:lineRule="auto"/>
        <w:ind w:left="360"/>
        <w:contextualSpacing w:val="0"/>
        <w:jc w:val="both"/>
        <w:rPr>
          <w:rFonts w:ascii="FrankRuehl" w:hAnsi="FrankRuehl" w:cs="FrankRuehl"/>
          <w:sz w:val="28"/>
          <w:szCs w:val="28"/>
        </w:rPr>
      </w:pPr>
      <w:r>
        <w:rPr>
          <w:rFonts w:ascii="FrankRuehl" w:hAnsi="FrankRuehl" w:cs="FrankRuehl"/>
          <w:sz w:val="28"/>
          <w:szCs w:val="28"/>
          <w:rtl/>
        </w:rPr>
        <w:t>בעדותו בפני בית המשפט בחקירתו הנגדית העיד התובע כי עוד בתקופה שבסמוך לאירוע, כאשר "הפוקוס" שלו היה ממוקד בפגיעה באף, התחיל להרגיש נוקשות בצוואר אך לא ייחס לכך חשיבות. לטענתו החל להרגיש בכאב "כמה חודשים" לאחר האירוע (עמ' 22, ש' 9). בהתאם לעדותו, הכאב החמיר כאשר התחיל ללמוד באוניברסיטה בחודש ספטמבר 2013 (עמ' 21, ש' 25,26 ועמ' 22, ש' 1,2). כן העיד שבמועד זה הבין שייתכן שהכאב אינו רגיל והתחיל "לבדוק את זה" (עמ' 22, ש' 31,32). בחקירתו הנגדית שב התובע ואישר את האמור בתצהירו שלפיו פנה להתייעצות עם מומחים, לרבות אורתופדים, בעקבות כך ועוד לפני נובמבר 2014 (עמ' 22, ש' 16-23). ואולם, כאשר התבקש להסביר מדוע לא צירף את חוות הדעת ומסמכים רפואיים מתקופה זו, העיד כי הפעם הראשונה בה פנה לאורתופד בענין הצוואר היתה לאחר חודש נובמבר 2014 (כלומר לאחר שנתיים וארבעה חודשים לאחר האירוע, עמ' 23, ש' 19-24).</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 xml:space="preserve">הנה כי כן, בתצהירו טען כאמור התובע כי פנה למומחה אורתופד והתייעץ "בכל הזדמנות", קיבל טיפול ורק לאחר מכן פנה לביצוע בדיקת </w:t>
      </w:r>
      <w:r>
        <w:rPr>
          <w:rFonts w:ascii="FrankRuehl" w:hAnsi="FrankRuehl" w:cs="FrankRuehl"/>
          <w:sz w:val="28"/>
          <w:szCs w:val="28"/>
        </w:rPr>
        <w:t>MRI</w:t>
      </w:r>
      <w:r>
        <w:rPr>
          <w:rFonts w:ascii="FrankRuehl" w:hAnsi="FrankRuehl" w:cs="FrankRuehl"/>
          <w:sz w:val="28"/>
          <w:szCs w:val="28"/>
          <w:rtl/>
        </w:rPr>
        <w:t xml:space="preserve">. לעומת זאת, כאשר התבקש להסביר בחקירתו הנגדית מדוע לא הציג חומרים אלה השיב בצורה חד משמעית כי הפעם הראשונה בה פנה לאורתופד עקב כאבים הצוואר היתה </w:t>
      </w:r>
      <w:r>
        <w:rPr>
          <w:rFonts w:ascii="FrankRuehl" w:hAnsi="FrankRuehl" w:cs="FrankRuehl"/>
          <w:sz w:val="28"/>
          <w:szCs w:val="28"/>
          <w:u w:val="single"/>
          <w:rtl/>
        </w:rPr>
        <w:t>לאחר</w:t>
      </w:r>
      <w:r>
        <w:rPr>
          <w:rFonts w:ascii="FrankRuehl" w:hAnsi="FrankRuehl" w:cs="FrankRuehl"/>
          <w:sz w:val="28"/>
          <w:szCs w:val="28"/>
          <w:rtl/>
        </w:rPr>
        <w:t xml:space="preserve"> ביצוע הבדיקה בחודש נובמבר שנת 2014. בנוסף ניכר פער בין מועד הופעת התסמינים, כפי שתיאר התובע בבדיקות הרפואיות (שנה לאחר האירוע), ובין המועד אותו תיאר בחקירתו הנגדית (ממש בסמוך לאירוע ובהמשך "כמה חודשים לאחר האירוע").</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lastRenderedPageBreak/>
        <w:t xml:space="preserve">כך או אחרת ומאחר שעל התובע נטל הראיה והקשר הסיבתי בעניינו כידוע היטב וכעולה גם מחוות דעת המומחה מטעם התובע אינו ודאי, היה על התובע לצרף את המסמכים רפואיים בהם פורטו תלונותיו הראשונות. בפרט אמורים הדברים נוכח עדותו הברורה של התובע בחקירתו הנגדית שלפיה פנה לאורתופד רק לאחר חודש נובמבר 2014, כלומר כמעט שנתיים וחצי לאחר האירוע ומכאן שחשוב היה להראות מה היו תלונותיו באותו מועד ומתי החלו הסימפטומים עליהם דיווח לאורתופד בפגישה הראשונה. </w:t>
      </w:r>
    </w:p>
    <w:p w:rsidR="004C3D00" w:rsidRDefault="004C3D00" w:rsidP="004C3D00">
      <w:pPr>
        <w:pStyle w:val="ad"/>
        <w:spacing w:after="80" w:line="360" w:lineRule="auto"/>
        <w:ind w:left="360"/>
        <w:contextualSpacing w:val="0"/>
        <w:jc w:val="both"/>
        <w:rPr>
          <w:rFonts w:ascii="FrankRuehl" w:hAnsi="FrankRuehl" w:cs="FrankRuehl"/>
          <w:sz w:val="28"/>
          <w:szCs w:val="28"/>
        </w:rPr>
      </w:pPr>
      <w:r>
        <w:rPr>
          <w:rFonts w:ascii="FrankRuehl" w:hAnsi="FrankRuehl" w:cs="FrankRuehl"/>
          <w:sz w:val="28"/>
          <w:szCs w:val="28"/>
          <w:rtl/>
        </w:rPr>
        <w:t>בהעדר מסמכים רפואיים אלה ולאור השוני בין גרסאות התובע, הן בהקשר למועד בו נבדק לראשונה על-ידי אורתופד בנוגע לצוואר והן לגבי מועד הופעת הסימפטומים, איני יכול לקבוע ממצא באשר למועד בו החלו הסימפטומים, מלבד קביעה כי אלה לא הורגשו בשנה הראשונה לאחר האירוע (כפי שסיפר בהמשך לרופאים שבדקו אותו בישראל). אוסיף שבהעדר מסמכים בדבר הבדיקות והייעוץ שעבר התובע קודם לבדיקת ה</w:t>
      </w:r>
      <w:r>
        <w:rPr>
          <w:rFonts w:ascii="FrankRuehl" w:hAnsi="FrankRuehl" w:cs="FrankRuehl"/>
          <w:sz w:val="28"/>
          <w:szCs w:val="28"/>
        </w:rPr>
        <w:t>MRI</w:t>
      </w:r>
      <w:r>
        <w:rPr>
          <w:rFonts w:ascii="FrankRuehl" w:hAnsi="FrankRuehl" w:cs="FrankRuehl"/>
          <w:sz w:val="28"/>
          <w:szCs w:val="28"/>
          <w:rtl/>
        </w:rPr>
        <w:t>, ייתכן כי הסימפטומים החלו רק בסמוך לפני הבדיקה שבוצעה בחודש נובמבר 2014, כלומר למעלה משנתיים לאחר ממועד האירוע.</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u w:val="single"/>
          <w:rtl/>
        </w:rPr>
        <w:t>האם הוכח מנגנון פגיעה הנטען על-ידי התובע</w:t>
      </w:r>
      <w:r>
        <w:rPr>
          <w:rFonts w:ascii="FrankRuehl" w:hAnsi="FrankRuehl" w:cs="FrankRuehl"/>
          <w:sz w:val="28"/>
          <w:szCs w:val="28"/>
          <w:rtl/>
        </w:rPr>
        <w:t xml:space="preserve">: המומחה אישר בעדותו כי הסתמך על גרסת התובע באשר למנגנון הפגיעה – "לדבריו הוא ישב על הספה כשארעה הבעיטה וראשו הוטח לאחור שכן היה מעל גובה משענת הספה". סוגייה זו נתונה במחלוקת עובדתית ונטל ההוכחה מוטל על התובע. </w:t>
      </w:r>
    </w:p>
    <w:p w:rsidR="004C3D00" w:rsidRPr="002F0F2F" w:rsidRDefault="004C3D00" w:rsidP="004C3D00">
      <w:pPr>
        <w:pStyle w:val="ad"/>
        <w:spacing w:after="80" w:line="360" w:lineRule="auto"/>
        <w:ind w:left="360"/>
        <w:contextualSpacing w:val="0"/>
        <w:jc w:val="both"/>
        <w:rPr>
          <w:rFonts w:ascii="FrankRuehl" w:hAnsi="FrankRuehl" w:cs="FrankRuehl"/>
          <w:sz w:val="28"/>
          <w:szCs w:val="28"/>
        </w:rPr>
      </w:pPr>
      <w:r w:rsidRPr="002F0F2F">
        <w:rPr>
          <w:rFonts w:ascii="FrankRuehl" w:hAnsi="FrankRuehl" w:cs="FrankRuehl"/>
          <w:sz w:val="28"/>
          <w:szCs w:val="28"/>
          <w:rtl/>
        </w:rPr>
        <w:t xml:space="preserve">הראיה היחידה התומכת בכך היא עדותו של התובע בסעיף 18 לתצהירו ובחקירתו הראשית שלפיה מעוצמת המכה נזרק ראשו לאחור. התובע נדרש בעדותו לפער בין תצהיר עדותו הראשית לתצהיר (עליו חתם בסמוך לאחר האירוע בפני עורך דינו) וכן לעדותו במשטרה, בהם לא הזכיר את מנגנון הפגיעה. בהתאם לעדותו, בעבר ענה על השאלות שנשאל וסיפר </w:t>
      </w:r>
      <w:r w:rsidRPr="002F0F2F">
        <w:rPr>
          <w:rFonts w:ascii="FrankRuehl" w:hAnsi="FrankRuehl" w:cs="FrankRuehl"/>
          <w:sz w:val="28"/>
          <w:szCs w:val="28"/>
          <w:rtl/>
          <w:lang w:eastAsia="he-IL"/>
        </w:rPr>
        <w:t>"</w:t>
      </w:r>
      <w:r w:rsidRPr="002F0F2F">
        <w:rPr>
          <w:rFonts w:ascii="FrankRuehl" w:hAnsi="FrankRuehl" w:cs="FrankRuehl"/>
          <w:sz w:val="28"/>
          <w:szCs w:val="28"/>
          <w:rtl/>
        </w:rPr>
        <w:t>את הסיפור</w:t>
      </w:r>
      <w:bookmarkStart w:id="2" w:name="_ETM_Q_300708"/>
      <w:bookmarkEnd w:id="2"/>
      <w:r w:rsidRPr="002F0F2F">
        <w:rPr>
          <w:rFonts w:ascii="FrankRuehl" w:hAnsi="FrankRuehl" w:cs="FrankRuehl"/>
          <w:sz w:val="28"/>
          <w:szCs w:val="28"/>
          <w:rtl/>
        </w:rPr>
        <w:t xml:space="preserve"> של מה שהיה נכון לאותה עת.</w:t>
      </w:r>
      <w:bookmarkStart w:id="3" w:name="_ETM_Q_311959"/>
      <w:bookmarkEnd w:id="3"/>
      <w:r w:rsidRPr="002F0F2F">
        <w:rPr>
          <w:rFonts w:ascii="FrankRuehl" w:hAnsi="FrankRuehl" w:cs="FrankRuehl"/>
          <w:sz w:val="28"/>
          <w:szCs w:val="28"/>
          <w:rtl/>
        </w:rPr>
        <w:t xml:space="preserve"> האירוע התרחש במהירות רבה. האירוע היה די טראומתי עבורי</w:t>
      </w:r>
      <w:bookmarkStart w:id="4" w:name="_ETM_Q_322707"/>
      <w:bookmarkEnd w:id="4"/>
      <w:r w:rsidRPr="002F0F2F">
        <w:rPr>
          <w:rFonts w:ascii="FrankRuehl" w:hAnsi="FrankRuehl" w:cs="FrankRuehl"/>
          <w:sz w:val="28"/>
          <w:szCs w:val="28"/>
          <w:rtl/>
        </w:rPr>
        <w:t xml:space="preserve"> וזה לקח לי קצת זמן עד שקלטתי את מלוא</w:t>
      </w:r>
      <w:bookmarkStart w:id="5" w:name="_ETM_Q_327959"/>
      <w:bookmarkEnd w:id="5"/>
      <w:r w:rsidRPr="002F0F2F">
        <w:rPr>
          <w:rFonts w:ascii="FrankRuehl" w:hAnsi="FrankRuehl" w:cs="FrankRuehl"/>
          <w:sz w:val="28"/>
          <w:szCs w:val="28"/>
          <w:rtl/>
        </w:rPr>
        <w:t xml:space="preserve"> העצמה שלו" (עמ' 10 ש' 32 עד עמ' 11). </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tl/>
        </w:rPr>
      </w:pPr>
      <w:r>
        <w:rPr>
          <w:rFonts w:ascii="FrankRuehl" w:hAnsi="FrankRuehl" w:cs="FrankRuehl"/>
          <w:sz w:val="28"/>
          <w:szCs w:val="28"/>
          <w:rtl/>
        </w:rPr>
        <w:t xml:space="preserve">באשר למנגנון הפגיעה הנטען לא מצאתי מקום להתבסס על עדות התובע כעדות יחידה - הוא לא כתב בתצהירו, שנכתב בסמוך לאירוע, את מגנון הפגיעה וגם לא העיד על כך במשטרה. מעדותו וכן מעדות יתר המעורבים עולה תמונה של פגיעה פתאומית והלם גדול לאחריה, דבר שתומך יותר במסקנה כי התובע לא יכול היה להעיד בזמן אמת האם ראשו </w:t>
      </w:r>
      <w:r>
        <w:rPr>
          <w:rFonts w:ascii="FrankRuehl" w:hAnsi="FrankRuehl" w:cs="FrankRuehl"/>
          <w:sz w:val="28"/>
          <w:szCs w:val="28"/>
          <w:rtl/>
        </w:rPr>
        <w:lastRenderedPageBreak/>
        <w:t xml:space="preserve">"נצלף". למעשה וכפי שנאמר בתצהירו של התובע, באותן שניות הוא חש "קהות ועימום". עדותו בענין כעבור זמן רב אינה יכולה לבסס ממצא, זאת בפרט כאשר כלל העדים לא יכלו לבסס עדות זו. למעשה, הפעם הראשונה בה צוין מנגנון הפגיעה היא לאחר הגשת התביעה ותוך כדי העלאת טענה לנזק צווארי. לפיכך איני סבור שניתן לקבוע ממצא עובדתי באשר למנגנון הפגיעה. </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tl/>
        </w:rPr>
      </w:pPr>
      <w:r>
        <w:rPr>
          <w:rFonts w:ascii="FrankRuehl" w:hAnsi="FrankRuehl" w:cs="FrankRuehl"/>
          <w:sz w:val="28"/>
          <w:szCs w:val="28"/>
          <w:rtl/>
        </w:rPr>
        <w:t>בכך אין כמובן כדי לבסס מסקנה כי לא ארעה תנועת "צליפה". בעיטה מהסוג שתוארה יכולה להוביל לכך ואולם אין הכרח שכך יקרה. בהקשר זה יש להתייחס לעדויות העדים באשר למקום ודרך ישיבתו של התובע – כאשר התובע יושב על הספה וראשו לכיוון מרכז החדר. כאמור בפרק העוסק בשאלת החבות, הפגיעה התרחשה עת התובע יושב על הספה כאשר ראשו מופנה קדימה, לא זז ולא מטה את ראשו לכיוון הנתבע (עמ' 16, ש' 11). לכן, בין היתר, נדחתה טענת הנתבע כי התובע נע לכיוון הנתבע, ואולם לצד זאת אפשר שהתובע ישב כשראשו צמוד לספה. במצב ישיבה זה לא ניתן לשלול מנגנון צליפה לאחור ואולם גם לא לאשרו. בין היתר, הדבר תלוי בשאלה האם טרם הבעיטה ראשו של התובע היה צמוד או קרוב לספה. בנסיבות האירוע המהיר והטראומטי לא ניתן לצפות מהצדדים והעדים להעיד ולזכור זאת (ומכל מקום  העדים שהעידו בענין לא יכלו לשפוך אור בסוגיה). אשר על כן יש להידרש לשיקולים הנוספים שציין המומחה ובהמשך גם למאמר רלוונטי שהוצג למומחה.</w:t>
      </w:r>
    </w:p>
    <w:p w:rsidR="004C3D00" w:rsidRDefault="004C3D00" w:rsidP="004C3D00">
      <w:pPr>
        <w:spacing w:after="80" w:line="360" w:lineRule="auto"/>
        <w:jc w:val="both"/>
        <w:rPr>
          <w:rFonts w:ascii="FrankRuehl" w:hAnsi="FrankRuehl" w:cs="FrankRuehl"/>
          <w:sz w:val="28"/>
          <w:szCs w:val="28"/>
          <w:rtl/>
        </w:rPr>
      </w:pPr>
      <w:r>
        <w:rPr>
          <w:rFonts w:ascii="FrankRuehl" w:hAnsi="FrankRuehl" w:cs="FrankRuehl"/>
          <w:sz w:val="28"/>
          <w:szCs w:val="28"/>
          <w:u w:val="single"/>
          <w:rtl/>
        </w:rPr>
        <w:t>שיקול התומך בקשר סיבתי בין הנזק לתקיפה</w:t>
      </w:r>
      <w:r>
        <w:rPr>
          <w:rFonts w:ascii="FrankRuehl" w:hAnsi="FrankRuehl" w:cs="FrankRuehl"/>
          <w:sz w:val="28"/>
          <w:szCs w:val="28"/>
          <w:rtl/>
        </w:rPr>
        <w:t xml:space="preserve">: </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 xml:space="preserve">השיקול התומך בקשר סיבתי בין הנזק לאירוע הוא עצם הנזק והעדר תלונה קודמת ומסמכים רפואיים בגין פגיעה אחרת בצוואר (וזאת בהתחשב גם בגילו הצעיר של התובע ובכך שכאבי צוואר נדירים בגיל זה). באשר להעדר פגיעה אחרת, שיכולה היתה להביא לפגיעה, הסתמך המומחה על דבריו של התובע בבדיקה ולא בדק את מלוא תיקו הרפואי בארצות הברית (שכן זה לא הועמד לפניו על-ידי הצדדים). </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tl/>
        </w:rPr>
      </w:pPr>
      <w:r>
        <w:rPr>
          <w:rFonts w:ascii="FrankRuehl" w:hAnsi="FrankRuehl" w:cs="FrankRuehl"/>
          <w:sz w:val="28"/>
          <w:szCs w:val="28"/>
          <w:rtl/>
        </w:rPr>
        <w:t xml:space="preserve">מדובר בשיקול חשוב שלו אתן משקל משמעותי, ואולם משקלו נחלש נוכח הפערים בעדות התובע שפורטו לעיל, וכן לאחר שהתברר שהתובע לא סיפר למומחה כי חודשיים בלבד לאחר האירוע נחבל בצורה קשה למדי במהלך משחק כדורסל. </w:t>
      </w:r>
    </w:p>
    <w:p w:rsidR="00316007" w:rsidRDefault="004C3D00" w:rsidP="00030387">
      <w:pPr>
        <w:pStyle w:val="ad"/>
        <w:numPr>
          <w:ilvl w:val="0"/>
          <w:numId w:val="1"/>
        </w:numPr>
        <w:spacing w:after="80" w:line="360" w:lineRule="auto"/>
        <w:contextualSpacing w:val="0"/>
        <w:jc w:val="both"/>
        <w:rPr>
          <w:rFonts w:ascii="FrankRuehl" w:hAnsi="FrankRuehl" w:cs="FrankRuehl"/>
          <w:sz w:val="28"/>
          <w:szCs w:val="28"/>
        </w:rPr>
      </w:pPr>
      <w:r w:rsidRPr="00316007">
        <w:rPr>
          <w:rFonts w:ascii="FrankRuehl" w:hAnsi="FrankRuehl" w:cs="FrankRuehl"/>
          <w:sz w:val="28"/>
          <w:szCs w:val="28"/>
          <w:rtl/>
        </w:rPr>
        <w:t xml:space="preserve">במהלך חקירתו הנגדית של התובע עלה לראשונה כי בחודש ספטמבר 2012 (חודשיים לאחר האירוע), החליק בעת אימון כדורסל ונפגע בצורה חמורה למדי בכתף והדבר חייב התערבות </w:t>
      </w:r>
      <w:r w:rsidRPr="00316007">
        <w:rPr>
          <w:rFonts w:ascii="FrankRuehl" w:hAnsi="FrankRuehl" w:cs="FrankRuehl"/>
          <w:sz w:val="28"/>
          <w:szCs w:val="28"/>
          <w:rtl/>
        </w:rPr>
        <w:lastRenderedPageBreak/>
        <w:t xml:space="preserve">ניתוחית (עמ' 25, 1-15). אוסיף שהמומחה העיד בצורה ברורה כי שאל על אירועים קודמים ונענה בשלילה. </w:t>
      </w:r>
    </w:p>
    <w:p w:rsidR="004C3D00" w:rsidRPr="00316007" w:rsidRDefault="004C3D00" w:rsidP="00316007">
      <w:pPr>
        <w:pStyle w:val="ad"/>
        <w:spacing w:after="80" w:line="360" w:lineRule="auto"/>
        <w:ind w:left="360"/>
        <w:contextualSpacing w:val="0"/>
        <w:jc w:val="both"/>
        <w:rPr>
          <w:rFonts w:ascii="FrankRuehl" w:hAnsi="FrankRuehl" w:cs="FrankRuehl"/>
          <w:sz w:val="28"/>
          <w:szCs w:val="28"/>
        </w:rPr>
      </w:pPr>
      <w:r w:rsidRPr="00316007">
        <w:rPr>
          <w:rFonts w:ascii="FrankRuehl" w:hAnsi="FrankRuehl" w:cs="FrankRuehl"/>
          <w:sz w:val="28"/>
          <w:szCs w:val="28"/>
          <w:rtl/>
        </w:rPr>
        <w:t xml:space="preserve">המסמכים בדבר אותו אירוע תאונתי לא הובאו ולא הוצגו (עמ' 40, ש' 21-32). המומחה שנחקר על כך העריך כי פגיעה מעין זו לא אמורה ליצור פגיעה בצוואר, ואולם הבהיר שלשם קביעה בענין היה עליו לבחון את המסמכים הרפואיים שלא הוצגו לו על-ידי התובע (שם וכן עמ' 41, ש' 14 עד עמ' 42, ש' 19). להשלמת התמונה אציין כי התובע העיד שסיפר על הניתוח שעבר בכתף למומחה (עמ' 25, ש' 4), ואולם בהקשר זה אני מוצא לנכון לאמץ את עדותו האובייקטיבית והברורה של המומחה שלפיה הוא שאל על פגיעה קודמת ונענה בשלילה. </w:t>
      </w:r>
    </w:p>
    <w:p w:rsidR="004C3D00" w:rsidRDefault="004C3D00" w:rsidP="004C3D00">
      <w:pPr>
        <w:pStyle w:val="ad"/>
        <w:spacing w:after="80" w:line="360" w:lineRule="auto"/>
        <w:ind w:left="360"/>
        <w:contextualSpacing w:val="0"/>
        <w:jc w:val="both"/>
        <w:rPr>
          <w:rFonts w:ascii="FrankRuehl" w:hAnsi="FrankRuehl" w:cs="FrankRuehl"/>
          <w:sz w:val="28"/>
          <w:szCs w:val="28"/>
          <w:rtl/>
        </w:rPr>
      </w:pPr>
      <w:r>
        <w:rPr>
          <w:rFonts w:ascii="FrankRuehl" w:hAnsi="FrankRuehl" w:cs="FrankRuehl"/>
          <w:sz w:val="28"/>
          <w:szCs w:val="28"/>
          <w:rtl/>
        </w:rPr>
        <w:t>ההשלכה של הדבר כפולה. ראשית לא ניתן לשלול שהנפילה בתאונה המאוחרת היתה גם על הכתף וגם בצוואר, וזאת בהעדר מסמכים רפואיים בדבר אירוע תאונתי זה. שנית, הדבר מבסס קושי מסוים להתבסס על עדותו של התובע שלפיה לא ספג מהלומות אחרות שיכולות היו לגרום לנזק. כיוון שאירוע אחד לא גולה, קיימת גם אפשרות לאירועים נוספים. בפרט אמורים הדברים נוכח עדותו של התובע שלפיה לא היה מעורב באירוע קטטה נוסף, בעוד שבחקירתו הוצגה לו תמונה שמעידה על אגרוף שספג בחודש יולי 2012 וכאשר לא ניתן הסבר משכנע מלבד "השתעשענו והשטתינו" (עמ' 24 ש' 10 עד עמ' 25 ש' 2, נ/1).</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tl/>
        </w:rPr>
      </w:pPr>
      <w:r>
        <w:rPr>
          <w:rFonts w:ascii="FrankRuehl" w:hAnsi="FrankRuehl" w:cs="FrankRuehl"/>
          <w:sz w:val="28"/>
          <w:szCs w:val="28"/>
          <w:rtl/>
        </w:rPr>
        <w:t>חולשה נוספת בקישור בין הנזק ובין האירוע על בסיס הערכת מנגנון פגיעה של חבטה, מצויה בספרות הרפואית שהוגשה. המומחה ציין בעדותו כי עקב מורכבות המקרה ביקש, עוד טרם הגשת חוות הדעת, לאתר ספרות העוסקת בקשר בין פגיעה מעין זו ובין הנזק, ואולם לא איתר מחקר רלוונטי. תוצאות מחקר מקיף הוצגו למומחה במהלך דיון ההוכחות והמומחה אישר, הן שמדובר במחקר רלוונטי והן שהמחקר פורסם בכתב עת איכותי ביותר.</w:t>
      </w:r>
    </w:p>
    <w:p w:rsidR="004C3D00" w:rsidRDefault="004C3D00" w:rsidP="00316007">
      <w:pPr>
        <w:pStyle w:val="ad"/>
        <w:spacing w:after="80" w:line="360" w:lineRule="auto"/>
        <w:ind w:left="360"/>
        <w:contextualSpacing w:val="0"/>
        <w:jc w:val="both"/>
        <w:rPr>
          <w:rFonts w:ascii="FrankRuehl" w:hAnsi="FrankRuehl" w:cs="FrankRuehl"/>
          <w:sz w:val="28"/>
          <w:szCs w:val="28"/>
        </w:rPr>
      </w:pPr>
      <w:r>
        <w:rPr>
          <w:rFonts w:ascii="FrankRuehl" w:hAnsi="FrankRuehl" w:cs="FrankRuehl"/>
          <w:sz w:val="28"/>
          <w:szCs w:val="28"/>
          <w:rtl/>
        </w:rPr>
        <w:t xml:space="preserve">בהתאם למחקר זה הקשר בין מנגנון פגיעה דומה לעניינו (חבטה באמצעות מקל בייסבול) ובין הפגיעה בצוואר ממנה סובל התובע, נדיר יחסית ואותר רק בעד 1% מהמקרים. המומחה אישר כאמור את רלוונטיות המחקר וכן שהדבר מקשה את ייחוס הקשר הסיבתי, אך הוסיף קושי אפשרי במחקר (שלא בוסס על בדיקת </w:t>
      </w:r>
      <w:r>
        <w:rPr>
          <w:rFonts w:ascii="FrankRuehl" w:hAnsi="FrankRuehl" w:cs="FrankRuehl"/>
          <w:sz w:val="28"/>
          <w:szCs w:val="28"/>
        </w:rPr>
        <w:t>MRI</w:t>
      </w:r>
      <w:r>
        <w:rPr>
          <w:rFonts w:ascii="FrankRuehl" w:hAnsi="FrankRuehl" w:cs="FrankRuehl"/>
          <w:sz w:val="28"/>
          <w:szCs w:val="28"/>
          <w:rtl/>
        </w:rPr>
        <w:t>). מסקנה רלוונטית נוספת במחקר היא כי פגיעה צווארית מעין זו מאופיינת בדרך כלל בנפילה לאחור, לאחר החבטה, ולא מעצם החבטה (לכן המלצת המחקר לרופאים היא לבחון האם לחבטה נלוותה נפילה). בענייננו אין מחלוקת שלאחר החבטה לא נפל התובע.</w:t>
      </w:r>
    </w:p>
    <w:p w:rsidR="004C3D00" w:rsidRDefault="004C3D00" w:rsidP="004C3D00">
      <w:pPr>
        <w:spacing w:after="80" w:line="360" w:lineRule="auto"/>
        <w:jc w:val="both"/>
        <w:rPr>
          <w:rFonts w:ascii="FrankRuehl" w:hAnsi="FrankRuehl" w:cs="FrankRuehl"/>
          <w:sz w:val="28"/>
          <w:szCs w:val="28"/>
        </w:rPr>
      </w:pPr>
      <w:r>
        <w:rPr>
          <w:rFonts w:ascii="FrankRuehl" w:hAnsi="FrankRuehl" w:cs="FrankRuehl"/>
          <w:sz w:val="28"/>
          <w:szCs w:val="28"/>
          <w:u w:val="single"/>
          <w:rtl/>
        </w:rPr>
        <w:lastRenderedPageBreak/>
        <w:t>שיקולים התומכים במסקנה כי אין קשר סיבתי בין הנכות בצוואר לאירוע</w:t>
      </w:r>
      <w:r>
        <w:rPr>
          <w:rFonts w:ascii="FrankRuehl" w:hAnsi="FrankRuehl" w:cs="FrankRuehl"/>
          <w:sz w:val="28"/>
          <w:szCs w:val="28"/>
          <w:rtl/>
        </w:rPr>
        <w:t>:</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 xml:space="preserve">באשר לשיקולים התומכים במסקנה אחרת, קרי כי לא קיים קשר סיבתי, אפנה תחילה לשיקול המשמעותי שצוין על-ידי המומחה עוד בחוות דעתו - המועד המאוחר בו הופיעו הסימפטומים. בחוות הדעת צוין שאלה הופיעו כעבור כשנה. כאמור לעיל ולאחר ניתוח העדויות מצאתי כי הורגשו לראשונה </w:t>
      </w:r>
      <w:r>
        <w:rPr>
          <w:rFonts w:ascii="FrankRuehl" w:hAnsi="FrankRuehl" w:cs="FrankRuehl"/>
          <w:sz w:val="28"/>
          <w:szCs w:val="28"/>
          <w:u w:val="single"/>
          <w:rtl/>
        </w:rPr>
        <w:t>לפחות</w:t>
      </w:r>
      <w:r>
        <w:rPr>
          <w:rFonts w:ascii="FrankRuehl" w:hAnsi="FrankRuehl" w:cs="FrankRuehl"/>
          <w:sz w:val="28"/>
          <w:szCs w:val="28"/>
          <w:rtl/>
        </w:rPr>
        <w:t xml:space="preserve"> שנה לאחר האירוע לאחר האירוע (כפי שסיפר בהמשך לרופאים שבדקו אותו בישראל), וייתכן שהחלו רק בסמוך לפני הבדיקה שבוצעה בחודש נובמבר 2014, כלומר למעלה משנתיים לאחר ממועד האירוע. מדובר בשיקול משמעותי. </w:t>
      </w:r>
    </w:p>
    <w:p w:rsidR="004C3D00" w:rsidRDefault="004C3D00" w:rsidP="004C3D00">
      <w:pPr>
        <w:pStyle w:val="ad"/>
        <w:spacing w:after="80" w:line="360" w:lineRule="auto"/>
        <w:ind w:left="360"/>
        <w:contextualSpacing w:val="0"/>
        <w:jc w:val="both"/>
        <w:rPr>
          <w:rFonts w:ascii="FrankRuehl" w:hAnsi="FrankRuehl" w:cs="FrankRuehl"/>
          <w:sz w:val="28"/>
          <w:szCs w:val="28"/>
        </w:rPr>
      </w:pPr>
      <w:r>
        <w:rPr>
          <w:rFonts w:ascii="FrankRuehl" w:hAnsi="FrankRuehl" w:cs="FrankRuehl"/>
          <w:sz w:val="28"/>
          <w:szCs w:val="28"/>
          <w:rtl/>
        </w:rPr>
        <w:t xml:space="preserve">להשלמת התמונה אציין כי במסגרת זו נכון לשקול את הפגיעה הקשה באף שספג התובע וכאשר במקרה של חבלה ברורה מוכרת תופעה של דחיית תחושת חבלות אחרות באופן שיכול היה לעכב את הסימפטומים, ואולם זאת למשך מספר חודשים (עדות המומחה, עמ' 65 ש' 16 עד 66 ש' 2). </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 xml:space="preserve">שיקול נוסף ומצטבר שעלה במהלך דיון ההוכחות הוא העדר פנייה ודיווח בתלונה רפואית אורתופדית רלוונטית לצוואר עד לחלוף למעלה משנתיים (ולמעשה כמעט שנתיים וחצי) לאחר האירוע. כאמור, בעדותו העיד התובע כי לא פנה לבדיקה רפואית עד לסמוך לביצוע בדיקת </w:t>
      </w:r>
      <w:r>
        <w:rPr>
          <w:rFonts w:ascii="FrankRuehl" w:hAnsi="FrankRuehl" w:cs="FrankRuehl"/>
          <w:sz w:val="28"/>
          <w:szCs w:val="28"/>
        </w:rPr>
        <w:t>MRI</w:t>
      </w:r>
      <w:r>
        <w:rPr>
          <w:rFonts w:ascii="FrankRuehl" w:hAnsi="FrankRuehl" w:cs="FrankRuehl"/>
          <w:sz w:val="28"/>
          <w:szCs w:val="28"/>
          <w:rtl/>
        </w:rPr>
        <w:t xml:space="preserve"> בנובמבר 2014. כאשר נשאל המומחה בדבר משמעות הדבר ציין כי פנייה ראשונה לאחר שנתיים מצויה סמוך מאוד למיקום בו לא מקובל לקבוע קשר סיבתי (עמ' 38, ש' 28,29). </w:t>
      </w:r>
    </w:p>
    <w:p w:rsidR="004C3D00" w:rsidRDefault="004C3D00" w:rsidP="004C3D00">
      <w:pPr>
        <w:pStyle w:val="ad"/>
        <w:spacing w:after="80" w:line="360" w:lineRule="auto"/>
        <w:ind w:left="360"/>
        <w:contextualSpacing w:val="0"/>
        <w:jc w:val="both"/>
        <w:rPr>
          <w:rFonts w:ascii="FrankRuehl" w:hAnsi="FrankRuehl" w:cs="FrankRuehl"/>
          <w:sz w:val="28"/>
          <w:szCs w:val="28"/>
        </w:rPr>
      </w:pPr>
      <w:r>
        <w:rPr>
          <w:rFonts w:ascii="FrankRuehl" w:hAnsi="FrankRuehl" w:cs="FrankRuehl"/>
          <w:sz w:val="28"/>
          <w:szCs w:val="28"/>
          <w:rtl/>
        </w:rPr>
        <w:t>לטענת ב"כ הנתבע מהמסמכים הרפואיים ומתצהיר התובע עולה כי היו ביקורים קודמים ואלה לא הוצגו. ככל שהדבר נכון הרי שהדבר מחליש עוד יותר את טענת הקשר הסיבתי. מכל מקום, אף בהנחה שעדות התובע בהקשר זה מדויקת, כלומר כי זה פנה לראשונה לבדיקה בסמוך לאחר ביצוע ההדמיה, הרי שהדבר מבסס קושי ממשי כאמור נוכח הפניה המאוחרת (מאוד). ובלשון אחר, בעוד חוות הדעת המומחה מציינת כקושי את הדיווח של התובע על תסמינים ראשונים לאחר שנה, הרי שבמהלך דיון ההוכחות עלה קושי נוסף אליו לא נדרש המומחה בחוות הדעת – דיווח לרופא על התסמינים רק כעבור שנתיים מהאירוע והספק שעולה מכך לגבי מועד הופעת התסמינים לראשונה.</w:t>
      </w:r>
    </w:p>
    <w:p w:rsidR="004C3D00" w:rsidRDefault="004C3D00" w:rsidP="004C3D00">
      <w:pPr>
        <w:pStyle w:val="ad"/>
        <w:numPr>
          <w:ilvl w:val="0"/>
          <w:numId w:val="1"/>
        </w:numPr>
        <w:spacing w:after="80" w:line="360" w:lineRule="auto"/>
        <w:ind w:left="357" w:hanging="357"/>
        <w:contextualSpacing w:val="0"/>
        <w:jc w:val="both"/>
        <w:rPr>
          <w:rFonts w:ascii="FrankRuehl" w:hAnsi="FrankRuehl" w:cs="FrankRuehl"/>
          <w:sz w:val="28"/>
          <w:szCs w:val="28"/>
          <w:rtl/>
        </w:rPr>
      </w:pPr>
      <w:r>
        <w:rPr>
          <w:rFonts w:ascii="FrankRuehl" w:hAnsi="FrankRuehl" w:cs="FrankRuehl"/>
          <w:sz w:val="28"/>
          <w:szCs w:val="28"/>
          <w:rtl/>
        </w:rPr>
        <w:lastRenderedPageBreak/>
        <w:t>הנה כי כן, במהלך שנתיים לאחר האירוע וטרם ביצוע בדיקת ה-</w:t>
      </w:r>
      <w:r>
        <w:rPr>
          <w:rFonts w:ascii="FrankRuehl" w:hAnsi="FrankRuehl" w:cs="FrankRuehl"/>
          <w:sz w:val="28"/>
          <w:szCs w:val="28"/>
        </w:rPr>
        <w:t>MRI</w:t>
      </w:r>
      <w:r>
        <w:rPr>
          <w:rFonts w:ascii="FrankRuehl" w:hAnsi="FrankRuehl" w:cs="FrankRuehl"/>
          <w:sz w:val="28"/>
          <w:szCs w:val="28"/>
          <w:rtl/>
        </w:rPr>
        <w:t xml:space="preserve"> </w:t>
      </w:r>
      <w:r>
        <w:rPr>
          <w:rFonts w:ascii="FrankRuehl" w:hAnsi="FrankRuehl" w:cs="FrankRuehl" w:hint="cs"/>
          <w:sz w:val="28"/>
          <w:szCs w:val="28"/>
          <w:rtl/>
        </w:rPr>
        <w:t xml:space="preserve">ייתכן שהיה אירוע נוסף שגרם לנזק. באשר להסתברות אפשרות זו, נכון לתת משקל לאורח חייו של התובע שכלל פעילות ספורטיבית רבה, לרבות כדורסל במסגרת קבוצתית, עיסוק בהרמת משקולות (עמ' 27) וכן בנוסף ספורט אתגרי. </w:t>
      </w:r>
    </w:p>
    <w:p w:rsidR="004C3D00" w:rsidRPr="00316007" w:rsidRDefault="004C3D00" w:rsidP="00316007">
      <w:pPr>
        <w:pStyle w:val="ad"/>
        <w:spacing w:after="80" w:line="360" w:lineRule="auto"/>
        <w:ind w:left="357"/>
        <w:contextualSpacing w:val="0"/>
        <w:jc w:val="both"/>
        <w:rPr>
          <w:rFonts w:ascii="FrankRuehl" w:hAnsi="FrankRuehl" w:cs="FrankRuehl"/>
          <w:sz w:val="28"/>
          <w:szCs w:val="28"/>
          <w:rtl/>
        </w:rPr>
      </w:pPr>
      <w:r>
        <w:rPr>
          <w:rFonts w:ascii="FrankRuehl" w:hAnsi="FrankRuehl" w:cs="FrankRuehl"/>
          <w:sz w:val="28"/>
          <w:szCs w:val="28"/>
          <w:rtl/>
        </w:rPr>
        <w:t xml:space="preserve">באשר לפעילות הכדורסל הרי כאמור התובע אישר פציעה, לטענתו בכתף, שלא הוגשו מסמכים רפואיים לגביה. </w:t>
      </w:r>
      <w:r w:rsidRPr="00316007">
        <w:rPr>
          <w:rFonts w:ascii="FrankRuehl" w:hAnsi="FrankRuehl" w:cs="FrankRuehl"/>
          <w:sz w:val="28"/>
          <w:szCs w:val="28"/>
          <w:rtl/>
        </w:rPr>
        <w:t xml:space="preserve">באשר לפעילות ספורט אתגרי, אישר התובע פעילויות שכללו סנובורד, פעילות שיט אבובים מאחורי סירת מנוע (פעילות דומה לפעילות המכונה "בננה" בישראל), ופעילות בתוך כדור טיפוס אתגרי. לא ניתן לשלול אפשרות כי בפעילות מעין זו נגרם נזק. אף שבהתאם לעדות המומחה עצם ההשתתפות אינה גורמת נזק, אלא רק נפילות, הרי מדובר גם בפעילויות הקשורות בנפילות (ראו עדות התובע בעמ' 27, ש' 1-7), או פעילויות הקשורות בנסיעה במהירות גבוהה ומשיכה (אבובים). </w:t>
      </w:r>
    </w:p>
    <w:p w:rsidR="004C3D00" w:rsidRDefault="004C3D00" w:rsidP="004C3D00">
      <w:pPr>
        <w:pStyle w:val="ad"/>
        <w:numPr>
          <w:ilvl w:val="0"/>
          <w:numId w:val="1"/>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בסיכומם של דברים ניתן לסכם את השיקולים בדרך מתומצת זו:</w:t>
      </w:r>
    </w:p>
    <w:p w:rsidR="004C3D00" w:rsidRDefault="004C3D00" w:rsidP="004C3D00">
      <w:pPr>
        <w:pStyle w:val="ad"/>
        <w:spacing w:after="80" w:line="360" w:lineRule="auto"/>
        <w:ind w:left="360"/>
        <w:contextualSpacing w:val="0"/>
        <w:jc w:val="both"/>
        <w:rPr>
          <w:rFonts w:ascii="FrankRuehl" w:hAnsi="FrankRuehl" w:cs="FrankRuehl"/>
          <w:sz w:val="28"/>
          <w:szCs w:val="28"/>
        </w:rPr>
      </w:pPr>
      <w:r>
        <w:rPr>
          <w:rFonts w:ascii="FrankRuehl" w:hAnsi="FrankRuehl" w:cs="FrankRuehl"/>
          <w:sz w:val="28"/>
          <w:szCs w:val="28"/>
          <w:rtl/>
        </w:rPr>
        <w:t>שיקולים התומכים בקשר הסיבתי:</w:t>
      </w:r>
    </w:p>
    <w:p w:rsidR="004C3D00" w:rsidRDefault="004C3D00" w:rsidP="004C3D00">
      <w:pPr>
        <w:pStyle w:val="ad"/>
        <w:numPr>
          <w:ilvl w:val="0"/>
          <w:numId w:val="2"/>
        </w:numPr>
        <w:spacing w:after="80" w:line="360" w:lineRule="auto"/>
        <w:contextualSpacing w:val="0"/>
        <w:jc w:val="both"/>
        <w:rPr>
          <w:rFonts w:ascii="FrankRuehl" w:hAnsi="FrankRuehl" w:cs="FrankRuehl"/>
          <w:sz w:val="28"/>
          <w:szCs w:val="28"/>
          <w:rtl/>
        </w:rPr>
      </w:pPr>
      <w:r>
        <w:rPr>
          <w:rFonts w:ascii="FrankRuehl" w:hAnsi="FrankRuehl" w:cs="FrankRuehl"/>
          <w:sz w:val="28"/>
          <w:szCs w:val="28"/>
          <w:rtl/>
        </w:rPr>
        <w:t>נזק צווארי שאינו מאפיין את גילו של התובע והעדר מסמכים על תלונות בגין אירוע אחר.</w:t>
      </w:r>
    </w:p>
    <w:p w:rsidR="004C3D00" w:rsidRDefault="004C3D00" w:rsidP="004C3D00">
      <w:pPr>
        <w:pStyle w:val="ad"/>
        <w:numPr>
          <w:ilvl w:val="0"/>
          <w:numId w:val="2"/>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מנגנון פגיעה אפשרי של צליפה עקב בעיטה (לא הוכח אך גם לא נשלל; התובע לא טען לאחר האירוע כי ראשו "הועף" לאחור וקדימה במנגנון צליפה, אלא העלה טענתו זו רק בשלב מאוחר בהרבה ולאחר שנוצר הנזק).</w:t>
      </w:r>
    </w:p>
    <w:p w:rsidR="004C3D00" w:rsidRDefault="004C3D00" w:rsidP="004C3D00">
      <w:pPr>
        <w:spacing w:after="80" w:line="360" w:lineRule="auto"/>
        <w:ind w:left="357"/>
        <w:jc w:val="both"/>
        <w:rPr>
          <w:rFonts w:ascii="FrankRuehl" w:hAnsi="FrankRuehl" w:cs="FrankRuehl"/>
          <w:sz w:val="28"/>
          <w:szCs w:val="28"/>
        </w:rPr>
      </w:pPr>
      <w:r>
        <w:rPr>
          <w:rFonts w:ascii="FrankRuehl" w:hAnsi="FrankRuehl" w:cs="FrankRuehl"/>
          <w:sz w:val="28"/>
          <w:szCs w:val="28"/>
          <w:rtl/>
        </w:rPr>
        <w:t>שיקולים התומכים בהעדר קשר סיבתי:</w:t>
      </w:r>
    </w:p>
    <w:p w:rsidR="004C3D00" w:rsidRDefault="004C3D00" w:rsidP="004C3D00">
      <w:pPr>
        <w:pStyle w:val="ad"/>
        <w:numPr>
          <w:ilvl w:val="0"/>
          <w:numId w:val="3"/>
        </w:numPr>
        <w:spacing w:after="80" w:line="360" w:lineRule="auto"/>
        <w:contextualSpacing w:val="0"/>
        <w:jc w:val="both"/>
        <w:rPr>
          <w:rFonts w:ascii="FrankRuehl" w:hAnsi="FrankRuehl" w:cs="FrankRuehl"/>
          <w:sz w:val="28"/>
          <w:szCs w:val="28"/>
          <w:rtl/>
        </w:rPr>
      </w:pPr>
      <w:r>
        <w:rPr>
          <w:rFonts w:ascii="FrankRuehl" w:hAnsi="FrankRuehl" w:cs="FrankRuehl"/>
          <w:sz w:val="28"/>
          <w:szCs w:val="28"/>
          <w:rtl/>
        </w:rPr>
        <w:t>התובע פנה לראשונה לאורתופד רק לאחר חלוף למעלה שנתיים מהאירוע ואז גם דיווח לראשונה על סימפטומים.</w:t>
      </w:r>
    </w:p>
    <w:p w:rsidR="004C3D00" w:rsidRDefault="004C3D00" w:rsidP="004C3D00">
      <w:pPr>
        <w:pStyle w:val="ad"/>
        <w:numPr>
          <w:ilvl w:val="0"/>
          <w:numId w:val="3"/>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התסמינים הופיעו לראשונה לכל הפחות שנה לאחר האירוע וייתכן שרק שנתיים לאחריו.</w:t>
      </w:r>
    </w:p>
    <w:p w:rsidR="004C3D00" w:rsidRDefault="004C3D00" w:rsidP="004C3D00">
      <w:pPr>
        <w:pStyle w:val="ad"/>
        <w:numPr>
          <w:ilvl w:val="0"/>
          <w:numId w:val="3"/>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בהתאם למחקר רפואי מקיף ורלוונטי, הפגיעה ממנה סובל התובע נדירה בפגיעות דומות, בהן אין מדובר בנפילה לאחור לאחר החבטה.</w:t>
      </w:r>
    </w:p>
    <w:p w:rsidR="004C3D00" w:rsidRDefault="004C3D00" w:rsidP="004C3D00">
      <w:pPr>
        <w:pStyle w:val="ad"/>
        <w:numPr>
          <w:ilvl w:val="0"/>
          <w:numId w:val="3"/>
        </w:numPr>
        <w:spacing w:after="80" w:line="360" w:lineRule="auto"/>
        <w:contextualSpacing w:val="0"/>
        <w:jc w:val="both"/>
        <w:rPr>
          <w:rFonts w:ascii="FrankRuehl" w:hAnsi="FrankRuehl" w:cs="FrankRuehl"/>
          <w:sz w:val="28"/>
          <w:szCs w:val="28"/>
        </w:rPr>
      </w:pPr>
      <w:r>
        <w:rPr>
          <w:rFonts w:ascii="FrankRuehl" w:hAnsi="FrankRuehl" w:cs="FrankRuehl"/>
          <w:sz w:val="28"/>
          <w:szCs w:val="28"/>
          <w:rtl/>
        </w:rPr>
        <w:t xml:space="preserve">התובע לא דיווח בעת בדיקתו (על אף שנשאל) על אירוע תאונתי נוסף שאירע בסמוך לאירוע מושא תיק זה, וזאת על אף שמדובר היה בנפילה משמעותית שלאחריה גם נותח </w:t>
      </w:r>
      <w:r>
        <w:rPr>
          <w:rFonts w:ascii="FrankRuehl" w:hAnsi="FrankRuehl" w:cs="FrankRuehl"/>
          <w:sz w:val="28"/>
          <w:szCs w:val="28"/>
          <w:rtl/>
        </w:rPr>
        <w:lastRenderedPageBreak/>
        <w:t>התובע. בנוסף, התובע העיד כי לא השתתף בקטטה קודמת או מאוחרת, ואולם הוצגה ראיה בדבר מהלומה בבטן (מכת אגרוף) שספג כשבועיים לפני האירוע.</w:t>
      </w:r>
    </w:p>
    <w:p w:rsidR="004C3D00" w:rsidRDefault="004C3D00" w:rsidP="004C3D00">
      <w:pPr>
        <w:pStyle w:val="ad"/>
        <w:numPr>
          <w:ilvl w:val="0"/>
          <w:numId w:val="3"/>
        </w:numPr>
        <w:spacing w:after="80" w:line="360" w:lineRule="auto"/>
        <w:ind w:left="714" w:hanging="357"/>
        <w:contextualSpacing w:val="0"/>
        <w:jc w:val="both"/>
        <w:rPr>
          <w:rFonts w:ascii="FrankRuehl" w:hAnsi="FrankRuehl" w:cs="FrankRuehl"/>
          <w:sz w:val="28"/>
          <w:szCs w:val="28"/>
        </w:rPr>
      </w:pPr>
      <w:r>
        <w:rPr>
          <w:rFonts w:ascii="FrankRuehl" w:hAnsi="FrankRuehl" w:cs="FrankRuehl"/>
          <w:sz w:val="28"/>
          <w:szCs w:val="28"/>
          <w:rtl/>
        </w:rPr>
        <w:t xml:space="preserve">בתקופה שבין האירוע ובין הפנייה לבדיקה רפואית בגין תלונות הקשורות לצוואר, השתתף התובע בפעילויות ספורטיביות, בהן ספורט קבוצתי מאורגן (כדורסל) וכן פעילויות ספורט אתגרי, לרבות פעילות סנובורד שלגביה אישר התובע נפילות במהלכה. </w:t>
      </w:r>
    </w:p>
    <w:p w:rsidR="004C3D00" w:rsidRDefault="004C3D00" w:rsidP="00CA34D6">
      <w:pPr>
        <w:pStyle w:val="ad"/>
        <w:numPr>
          <w:ilvl w:val="0"/>
          <w:numId w:val="1"/>
        </w:numPr>
        <w:spacing w:after="80" w:line="360" w:lineRule="auto"/>
        <w:ind w:left="357" w:hanging="357"/>
        <w:contextualSpacing w:val="0"/>
        <w:jc w:val="both"/>
        <w:rPr>
          <w:rFonts w:ascii="FrankRuehl" w:hAnsi="FrankRuehl" w:cs="FrankRuehl"/>
          <w:sz w:val="28"/>
          <w:szCs w:val="28"/>
        </w:rPr>
      </w:pPr>
      <w:r>
        <w:rPr>
          <w:rFonts w:ascii="FrankRuehl" w:hAnsi="FrankRuehl" w:cs="FrankRuehl"/>
          <w:sz w:val="28"/>
          <w:szCs w:val="28"/>
          <w:rtl/>
        </w:rPr>
        <w:t>בנוסף, ניתן להצביע גם על קושי במישור נטל הראיה המוטל על התובע. כאמור, הספק ב</w:t>
      </w:r>
      <w:r w:rsidR="00CA34D6">
        <w:rPr>
          <w:rFonts w:ascii="FrankRuehl" w:hAnsi="FrankRuehl" w:cs="FrankRuehl" w:hint="cs"/>
          <w:sz w:val="28"/>
          <w:szCs w:val="28"/>
          <w:rtl/>
        </w:rPr>
        <w:t xml:space="preserve">נוגע לקשר הסיבתי </w:t>
      </w:r>
      <w:r>
        <w:rPr>
          <w:rFonts w:ascii="FrankRuehl" w:hAnsi="FrankRuehl" w:cs="FrankRuehl"/>
          <w:sz w:val="28"/>
          <w:szCs w:val="28"/>
          <w:rtl/>
        </w:rPr>
        <w:t>עלה עוד בחוות דעת המומחים מטעם הצדדים והיה ברור גם מחוות דעת המומחה מטעם בית המשפט. במצב זה, ובפרט כאשר מדובר במי שתיקו הרפואי מנוהל בארצות הברית (ולא עמד בפני המומחה) וכאשר הנתבעים 1-3 הם גורמים "פרטיים", היה על התובע להציג את תיקו הרפואי המלא, לרבות התיק הרפואי העוסק בפג</w:t>
      </w:r>
      <w:r w:rsidR="00CA34D6">
        <w:rPr>
          <w:rFonts w:ascii="FrankRuehl" w:hAnsi="FrankRuehl" w:cs="FrankRuehl"/>
          <w:sz w:val="28"/>
          <w:szCs w:val="28"/>
          <w:rtl/>
        </w:rPr>
        <w:t xml:space="preserve">יעה בכתף ומסמכים רפואיים בנוגע </w:t>
      </w:r>
      <w:r w:rsidR="00CA34D6">
        <w:rPr>
          <w:rFonts w:ascii="FrankRuehl" w:hAnsi="FrankRuehl" w:cs="FrankRuehl" w:hint="cs"/>
          <w:sz w:val="28"/>
          <w:szCs w:val="28"/>
          <w:rtl/>
        </w:rPr>
        <w:t>לב</w:t>
      </w:r>
      <w:r>
        <w:rPr>
          <w:rFonts w:ascii="FrankRuehl" w:hAnsi="FrankRuehl" w:cs="FrankRuehl"/>
          <w:sz w:val="28"/>
          <w:szCs w:val="28"/>
          <w:rtl/>
        </w:rPr>
        <w:t>דיקותיו טרם בדיקת ה</w:t>
      </w:r>
      <w:r>
        <w:rPr>
          <w:rFonts w:ascii="FrankRuehl" w:hAnsi="FrankRuehl" w:cs="FrankRuehl"/>
          <w:sz w:val="28"/>
          <w:szCs w:val="28"/>
        </w:rPr>
        <w:t>MRI</w:t>
      </w:r>
      <w:r>
        <w:rPr>
          <w:rFonts w:ascii="FrankRuehl" w:hAnsi="FrankRuehl" w:cs="FrankRuehl"/>
          <w:sz w:val="28"/>
          <w:szCs w:val="28"/>
          <w:rtl/>
        </w:rPr>
        <w:t xml:space="preserve"> </w:t>
      </w:r>
      <w:r w:rsidR="00CA34D6">
        <w:rPr>
          <w:rFonts w:ascii="FrankRuehl" w:hAnsi="FrankRuehl" w:cs="FrankRuehl" w:hint="cs"/>
          <w:sz w:val="28"/>
          <w:szCs w:val="28"/>
          <w:rtl/>
        </w:rPr>
        <w:t>ביום 3.11.2014 וכן בנוגע ל</w:t>
      </w:r>
      <w:r>
        <w:rPr>
          <w:rFonts w:ascii="FrankRuehl" w:hAnsi="FrankRuehl" w:cs="FrankRuehl"/>
          <w:sz w:val="28"/>
          <w:szCs w:val="28"/>
          <w:rtl/>
        </w:rPr>
        <w:t>פגישתו הראשונה עם רופא</w:t>
      </w:r>
      <w:r w:rsidR="00CA34D6">
        <w:rPr>
          <w:rFonts w:ascii="FrankRuehl" w:hAnsi="FrankRuehl" w:cs="FrankRuehl" w:hint="cs"/>
          <w:sz w:val="28"/>
          <w:szCs w:val="28"/>
          <w:rtl/>
        </w:rPr>
        <w:t xml:space="preserve">ים, ובפרט </w:t>
      </w:r>
      <w:r>
        <w:rPr>
          <w:rFonts w:ascii="FrankRuehl" w:hAnsi="FrankRuehl" w:cs="FrankRuehl"/>
          <w:sz w:val="28"/>
          <w:szCs w:val="28"/>
          <w:rtl/>
        </w:rPr>
        <w:t xml:space="preserve"> </w:t>
      </w:r>
      <w:r w:rsidR="00CA34D6">
        <w:rPr>
          <w:rFonts w:ascii="FrankRuehl" w:hAnsi="FrankRuehl" w:cs="FrankRuehl" w:hint="cs"/>
          <w:sz w:val="28"/>
          <w:szCs w:val="28"/>
          <w:rtl/>
        </w:rPr>
        <w:t xml:space="preserve">מומחה </w:t>
      </w:r>
      <w:r>
        <w:rPr>
          <w:rFonts w:ascii="FrankRuehl" w:hAnsi="FrankRuehl" w:cs="FrankRuehl"/>
          <w:sz w:val="28"/>
          <w:szCs w:val="28"/>
          <w:rtl/>
        </w:rPr>
        <w:t>אורתופד</w:t>
      </w:r>
      <w:r w:rsidR="00CA34D6">
        <w:rPr>
          <w:rFonts w:ascii="FrankRuehl" w:hAnsi="FrankRuehl" w:cs="FrankRuehl" w:hint="cs"/>
          <w:sz w:val="28"/>
          <w:szCs w:val="28"/>
          <w:rtl/>
        </w:rPr>
        <w:t>,</w:t>
      </w:r>
      <w:r>
        <w:rPr>
          <w:rFonts w:ascii="FrankRuehl" w:hAnsi="FrankRuehl" w:cs="FrankRuehl"/>
          <w:sz w:val="28"/>
          <w:szCs w:val="28"/>
          <w:rtl/>
        </w:rPr>
        <w:t xml:space="preserve"> </w:t>
      </w:r>
      <w:r w:rsidR="00CA34D6">
        <w:rPr>
          <w:rFonts w:ascii="FrankRuehl" w:hAnsi="FrankRuehl" w:cs="FrankRuehl" w:hint="cs"/>
          <w:sz w:val="28"/>
          <w:szCs w:val="28"/>
          <w:rtl/>
        </w:rPr>
        <w:t>בהקשר זה</w:t>
      </w:r>
      <w:r>
        <w:rPr>
          <w:rFonts w:ascii="FrankRuehl" w:hAnsi="FrankRuehl" w:cs="FrankRuehl"/>
          <w:sz w:val="28"/>
          <w:szCs w:val="28"/>
          <w:rtl/>
        </w:rPr>
        <w:t>. התובע לא הביא ראיות אלה ובכך תרם ליצירת העמימות באשר לסיבתיות.</w:t>
      </w:r>
    </w:p>
    <w:p w:rsidR="004C3D00" w:rsidRDefault="004C3D00" w:rsidP="004C3D00">
      <w:pPr>
        <w:pStyle w:val="ad"/>
        <w:numPr>
          <w:ilvl w:val="0"/>
          <w:numId w:val="1"/>
        </w:numPr>
        <w:spacing w:after="80" w:line="360" w:lineRule="auto"/>
        <w:ind w:left="357" w:hanging="357"/>
        <w:contextualSpacing w:val="0"/>
        <w:jc w:val="both"/>
        <w:rPr>
          <w:rFonts w:ascii="FrankRuehl" w:hAnsi="FrankRuehl" w:cs="FrankRuehl"/>
          <w:sz w:val="28"/>
          <w:szCs w:val="28"/>
          <w:rtl/>
        </w:rPr>
      </w:pPr>
      <w:r>
        <w:rPr>
          <w:rFonts w:ascii="FrankRuehl" w:hAnsi="FrankRuehl" w:cs="FrankRuehl"/>
          <w:sz w:val="28"/>
          <w:szCs w:val="28"/>
          <w:rtl/>
        </w:rPr>
        <w:t xml:space="preserve">לאור שיקולים אלה איני סבור שניתן לקבוע, אף במאזן ההסתברויות, קיומו של קשר סיבתי בין אירוע התקיפה לפגיעה הצמיתה בצוואר. ההסתברות שהנזק נבע כתוצאה מאירוע אחר אינה פחותה לדעתי מהסתברות כי הנזק נגרם כתוצאה מהבעיטה שספג התובע שנתיים קודם למועד בו התלונן לראשונה בפני אורתופד על בעיה בצוואר. אציין שבשונה מהמבחן "הרפואי" בו נקט המומחה של קישור הנכות לאירוע "מחמת הספק", בהליך המשפטי מוטל נטל ההוכחה על התובע. לא מצאתי כי התובע עמד בנטל ההוכחה. </w:t>
      </w:r>
    </w:p>
    <w:p w:rsidR="004C3D00" w:rsidRDefault="004C3D00" w:rsidP="004C3D00">
      <w:pPr>
        <w:pStyle w:val="ad"/>
        <w:spacing w:after="80" w:line="360" w:lineRule="auto"/>
        <w:ind w:left="357"/>
        <w:contextualSpacing w:val="0"/>
        <w:jc w:val="both"/>
        <w:rPr>
          <w:rFonts w:ascii="Aharoni" w:hAnsi="Aharoni" w:cs="Aharoni"/>
          <w:color w:val="000000"/>
          <w:shd w:val="clear" w:color="auto" w:fill="FFFFFF"/>
        </w:rPr>
      </w:pPr>
      <w:r>
        <w:rPr>
          <w:rFonts w:ascii="FrankRuehl" w:hAnsi="FrankRuehl" w:cs="FrankRuehl"/>
          <w:sz w:val="28"/>
          <w:szCs w:val="28"/>
          <w:rtl/>
        </w:rPr>
        <w:t xml:space="preserve">הסיבתיות בעניינו היא אפוא "עמומה" ובמצב זה אין מקום לפיצוי התובע בגין הנזק בצווארו: </w:t>
      </w:r>
    </w:p>
    <w:p w:rsidR="004C3D00" w:rsidRPr="00316007" w:rsidRDefault="004C3D00" w:rsidP="00316007">
      <w:pPr>
        <w:pStyle w:val="ad"/>
        <w:spacing w:after="80" w:line="360" w:lineRule="auto"/>
        <w:ind w:left="680" w:right="397"/>
        <w:contextualSpacing w:val="0"/>
        <w:jc w:val="both"/>
        <w:rPr>
          <w:rFonts w:ascii="FrankRuehl" w:hAnsi="FrankRuehl" w:cs="FrankRuehl"/>
          <w:spacing w:val="-2"/>
          <w:sz w:val="28"/>
          <w:szCs w:val="28"/>
          <w:rtl/>
        </w:rPr>
      </w:pPr>
      <w:r w:rsidRPr="00316007">
        <w:rPr>
          <w:rFonts w:ascii="Miriam" w:hAnsi="Miriam" w:cs="Miriam"/>
          <w:spacing w:val="-2"/>
          <w:sz w:val="24"/>
          <w:szCs w:val="24"/>
          <w:shd w:val="clear" w:color="auto" w:fill="FFFFFF"/>
          <w:rtl/>
        </w:rPr>
        <w:t xml:space="preserve">"נקודת המוצא המוסכמת על הכול היא שהדרך הרגילה להוכחת תביעה בנזיקין היא הוכחת יסודות העוולה כולם – חובת זהירות, התרשלות, קשר סיבתי ונזק – על-פי מאזן ההסתברויות. במובן זה פועלים דיני הנזיקין על-פי סטנדרט ההוכחה המקובל במשפט האזרחי ככלל. יישומה של אמת-מידה זו בתביעה נזיקית משמעותו היא שכאשר עולה בידי התובע לעמוד בנטל ההוכחה המוטל עליו, זוכה הוא בפיצוי מלא בגין הנזק שנגרם לו. לעומת זאת כאשר לא עולה בידו להוכיח את תביעתו במאזן ההסתברות, אין הוא זוכה בפיצוי כלשהו. כלל זה, שזכה לכינוי </w:t>
      </w:r>
      <w:r w:rsidRPr="00316007">
        <w:rPr>
          <w:rFonts w:ascii="Miriam" w:hAnsi="Miriam" w:cs="Miriam"/>
          <w:spacing w:val="-2"/>
          <w:sz w:val="24"/>
          <w:szCs w:val="24"/>
          <w:shd w:val="clear" w:color="auto" w:fill="FFFFFF"/>
          <w:rtl/>
        </w:rPr>
        <w:lastRenderedPageBreak/>
        <w:t>"הכול או לא-כלום", ניצב בלב תפיסתו של המשפט המקובל, ומשפטנו-שלנו בכלל זה, בכל הנוגע לסטנדרט ההוכחה ולאופייה הבינארי של ההכרעה השיפוטית</w:t>
      </w:r>
      <w:r w:rsidRPr="00316007">
        <w:rPr>
          <w:rFonts w:ascii="Miriam" w:hAnsi="Miriam" w:cs="Miriam"/>
          <w:spacing w:val="-2"/>
          <w:sz w:val="24"/>
          <w:szCs w:val="24"/>
          <w:shd w:val="clear" w:color="auto" w:fill="FFFFFF"/>
        </w:rPr>
        <w:t>."</w:t>
      </w:r>
      <w:r w:rsidRPr="00316007">
        <w:rPr>
          <w:rFonts w:ascii="Miriam" w:hAnsi="Miriam" w:cs="Miriam"/>
          <w:spacing w:val="-2"/>
          <w:sz w:val="24"/>
          <w:szCs w:val="24"/>
          <w:rtl/>
        </w:rPr>
        <w:t xml:space="preserve"> </w:t>
      </w:r>
      <w:r w:rsidRPr="00316007">
        <w:rPr>
          <w:rFonts w:ascii="FrankRuehl" w:hAnsi="FrankRuehl" w:cs="FrankRuehl"/>
          <w:spacing w:val="-2"/>
          <w:sz w:val="28"/>
          <w:szCs w:val="28"/>
          <w:shd w:val="clear" w:color="auto" w:fill="FFFFFF"/>
          <w:rtl/>
        </w:rPr>
        <w:t>(</w:t>
      </w:r>
      <w:hyperlink r:id="rId11" w:tgtFrame="blank" w:history="1">
        <w:r w:rsidRPr="00316007">
          <w:rPr>
            <w:rStyle w:val="Hyperlink"/>
            <w:rFonts w:ascii="FrankRuehl" w:hAnsi="FrankRuehl" w:cs="FrankRuehl"/>
            <w:color w:val="auto"/>
            <w:spacing w:val="-2"/>
            <w:sz w:val="28"/>
            <w:szCs w:val="28"/>
            <w:u w:val="none"/>
            <w:shd w:val="clear" w:color="auto" w:fill="FFFFFF"/>
            <w:rtl/>
          </w:rPr>
          <w:t>דנ"א 4693/05</w:t>
        </w:r>
      </w:hyperlink>
      <w:r w:rsidRPr="00316007">
        <w:rPr>
          <w:rFonts w:ascii="FrankRuehl" w:hAnsi="FrankRuehl" w:cs="FrankRuehl"/>
          <w:spacing w:val="-2"/>
          <w:sz w:val="28"/>
          <w:szCs w:val="28"/>
          <w:shd w:val="clear" w:color="auto" w:fill="FFFFFF"/>
        </w:rPr>
        <w:t> </w:t>
      </w:r>
      <w:r w:rsidR="00316007" w:rsidRPr="00316007">
        <w:rPr>
          <w:rFonts w:ascii="Miriam" w:hAnsi="Miriam" w:cs="Miriam"/>
          <w:b/>
          <w:bCs/>
          <w:spacing w:val="-2"/>
          <w:sz w:val="24"/>
          <w:szCs w:val="24"/>
          <w:shd w:val="clear" w:color="auto" w:fill="FFFFFF"/>
          <w:rtl/>
        </w:rPr>
        <w:t>בי"ח כרמל-חיפה נ' עדן מלול,</w:t>
      </w:r>
      <w:r w:rsidR="00316007">
        <w:rPr>
          <w:rFonts w:ascii="FrankRuehl" w:hAnsi="FrankRuehl" w:cs="FrankRuehl" w:hint="cs"/>
          <w:spacing w:val="-2"/>
          <w:sz w:val="28"/>
          <w:szCs w:val="28"/>
          <w:shd w:val="clear" w:color="auto" w:fill="FFFFFF"/>
          <w:rtl/>
        </w:rPr>
        <w:t xml:space="preserve"> </w:t>
      </w:r>
      <w:r w:rsidRPr="00316007">
        <w:rPr>
          <w:rFonts w:ascii="FrankRuehl" w:hAnsi="FrankRuehl" w:cs="FrankRuehl"/>
          <w:spacing w:val="-2"/>
          <w:sz w:val="28"/>
          <w:szCs w:val="28"/>
          <w:shd w:val="clear" w:color="auto" w:fill="FFFFFF"/>
          <w:rtl/>
        </w:rPr>
        <w:t>סד(1) 533 (2010)</w:t>
      </w:r>
    </w:p>
    <w:p w:rsidR="004C3D00" w:rsidRDefault="004C3D00" w:rsidP="004C3D00">
      <w:pPr>
        <w:pStyle w:val="ad"/>
        <w:numPr>
          <w:ilvl w:val="0"/>
          <w:numId w:val="1"/>
        </w:numPr>
        <w:spacing w:after="80" w:line="360" w:lineRule="auto"/>
        <w:ind w:left="357"/>
        <w:contextualSpacing w:val="0"/>
        <w:jc w:val="both"/>
        <w:rPr>
          <w:rFonts w:ascii="FrankRuehl" w:hAnsi="FrankRuehl" w:cs="FrankRuehl"/>
          <w:sz w:val="28"/>
          <w:szCs w:val="28"/>
          <w:rtl/>
        </w:rPr>
      </w:pPr>
      <w:r>
        <w:rPr>
          <w:rFonts w:ascii="FrankRuehl" w:hAnsi="FrankRuehl" w:cs="FrankRuehl"/>
          <w:sz w:val="28"/>
          <w:szCs w:val="28"/>
          <w:rtl/>
        </w:rPr>
        <w:t xml:space="preserve">לפיכך לא הוכח קשר סיבתי בין העוולה ובין הנכות בצוואר ויש לפסוק את הפיצוי בגין ראשי הנזק בהתייחס לפגיעה באף בלבד. </w:t>
      </w:r>
    </w:p>
    <w:p w:rsidR="004C3D00" w:rsidRDefault="004C3D00" w:rsidP="004C3D00">
      <w:pPr>
        <w:spacing w:after="80" w:line="360" w:lineRule="auto"/>
        <w:jc w:val="both"/>
        <w:rPr>
          <w:rFonts w:ascii="FrankRuehl" w:hAnsi="FrankRuehl" w:cs="FrankRuehl"/>
          <w:sz w:val="28"/>
          <w:szCs w:val="28"/>
          <w:rtl/>
        </w:rPr>
      </w:pPr>
      <w:r>
        <w:rPr>
          <w:rFonts w:ascii="FrankRuehl" w:hAnsi="FrankRuehl" w:cs="FrankRuehl"/>
          <w:sz w:val="28"/>
          <w:szCs w:val="28"/>
          <w:u w:val="single"/>
          <w:rtl/>
        </w:rPr>
        <w:t>כאב וסבל</w:t>
      </w:r>
      <w:r>
        <w:rPr>
          <w:rFonts w:ascii="FrankRuehl" w:hAnsi="FrankRuehl" w:cs="FrankRuehl"/>
          <w:sz w:val="28"/>
          <w:szCs w:val="28"/>
          <w:rtl/>
        </w:rPr>
        <w:t xml:space="preserve">: </w:t>
      </w:r>
    </w:p>
    <w:p w:rsidR="00316007" w:rsidRDefault="004C3D00" w:rsidP="004C3D00">
      <w:pPr>
        <w:pStyle w:val="ad"/>
        <w:numPr>
          <w:ilvl w:val="0"/>
          <w:numId w:val="1"/>
        </w:numPr>
        <w:spacing w:after="80" w:line="360" w:lineRule="auto"/>
        <w:ind w:left="357"/>
        <w:contextualSpacing w:val="0"/>
        <w:jc w:val="both"/>
        <w:rPr>
          <w:rFonts w:ascii="FrankRuehl" w:hAnsi="FrankRuehl" w:cs="FrankRuehl"/>
          <w:sz w:val="28"/>
          <w:szCs w:val="28"/>
        </w:rPr>
      </w:pPr>
      <w:r w:rsidRPr="00316007">
        <w:rPr>
          <w:rFonts w:ascii="FrankRuehl" w:hAnsi="FrankRuehl" w:cs="FrankRuehl"/>
          <w:sz w:val="28"/>
          <w:szCs w:val="28"/>
          <w:rtl/>
        </w:rPr>
        <w:t xml:space="preserve">אירוע התקיפה גרם לנזק משמעותי מוכח - שבר באף ולאחריו גם ניתוח. אף שלא הוכח שכתוצאה מהאירוע נגרמה נכות צמיתה, יש לשקול הן את הכאבים וההתאוששות בתקופה הסמוכה לאירוע, הן את המוגבלות המסוימת שנבעה מכך עד לניתוח המשקם (שנערך בחלוף תקופה משמעותית), והן את הניתוח המשקם ותקופת ההתאוששות ממנו. בהקשר זה מקובלת עלי עדותו של התובע בתצהירו שלפיה סבל מקושי בנשימה עד להסרת התחבושות וגם לאחר הסרתן המשיך לסבול מחסימה חלקית, אי נוחות ומצוקה רגשית. </w:t>
      </w:r>
    </w:p>
    <w:p w:rsidR="004C3D00" w:rsidRPr="00316007" w:rsidRDefault="004C3D00" w:rsidP="00316007">
      <w:pPr>
        <w:pStyle w:val="ad"/>
        <w:spacing w:after="80" w:line="360" w:lineRule="auto"/>
        <w:ind w:left="357"/>
        <w:contextualSpacing w:val="0"/>
        <w:jc w:val="both"/>
        <w:rPr>
          <w:rFonts w:ascii="FrankRuehl" w:hAnsi="FrankRuehl" w:cs="FrankRuehl"/>
          <w:sz w:val="28"/>
          <w:szCs w:val="28"/>
        </w:rPr>
      </w:pPr>
      <w:r w:rsidRPr="00316007">
        <w:rPr>
          <w:rFonts w:ascii="FrankRuehl" w:hAnsi="FrankRuehl" w:cs="FrankRuehl"/>
          <w:sz w:val="28"/>
          <w:szCs w:val="28"/>
          <w:rtl/>
        </w:rPr>
        <w:t>בנוסף יש להתייחס לטראומתיות האירוע. הסבל וההשפלה מזכים בפיצוי ובהקשר זה יש חשיבות לאופי האירוע – תקיפה אלימה כתגובה לויכוח מילולי. לאור האמור אני מעמיד את שיעור הפיצוי בגין רכיב זה על סכום של 40,000 ₪ (השוו</w:t>
      </w:r>
      <w:r w:rsidRPr="00316007">
        <w:rPr>
          <w:rFonts w:ascii="FrankRuehl" w:hAnsi="FrankRuehl" w:cs="FrankRuehl"/>
          <w:sz w:val="28"/>
          <w:szCs w:val="28"/>
        </w:rPr>
        <w:t xml:space="preserve"> </w:t>
      </w:r>
      <w:hyperlink r:id="rId12" w:history="1">
        <w:r w:rsidRPr="00316007">
          <w:rPr>
            <w:rStyle w:val="Hyperlink"/>
            <w:rFonts w:ascii="FrankRuehl" w:hAnsi="FrankRuehl" w:cs="FrankRuehl"/>
            <w:color w:val="auto"/>
            <w:sz w:val="28"/>
            <w:szCs w:val="28"/>
            <w:u w:val="none"/>
            <w:rtl/>
          </w:rPr>
          <w:t>תא  (ת"א) 33644/07</w:t>
        </w:r>
      </w:hyperlink>
      <w:r w:rsidRPr="00316007">
        <w:rPr>
          <w:rFonts w:ascii="Miriam" w:hAnsi="Miriam" w:cs="Miriam"/>
          <w:sz w:val="24"/>
          <w:szCs w:val="24"/>
        </w:rPr>
        <w:t> </w:t>
      </w:r>
      <w:r w:rsidRPr="00316007">
        <w:rPr>
          <w:rFonts w:ascii="Miriam" w:hAnsi="Miriam" w:cs="Miriam"/>
          <w:sz w:val="24"/>
          <w:szCs w:val="24"/>
          <w:rtl/>
        </w:rPr>
        <w:t>אזברגה נ</w:t>
      </w:r>
      <w:r w:rsidRPr="00316007">
        <w:rPr>
          <w:rFonts w:ascii="Miriam" w:hAnsi="Miriam" w:cs="Miriam"/>
          <w:sz w:val="24"/>
          <w:szCs w:val="24"/>
        </w:rPr>
        <w:t xml:space="preserve"> '</w:t>
      </w:r>
      <w:r w:rsidRPr="00316007">
        <w:rPr>
          <w:rFonts w:ascii="Miriam" w:hAnsi="Miriam" w:cs="Miriam"/>
          <w:sz w:val="24"/>
          <w:szCs w:val="24"/>
          <w:rtl/>
        </w:rPr>
        <w:t>גולן</w:t>
      </w:r>
      <w:r w:rsidRPr="00316007">
        <w:rPr>
          <w:rFonts w:ascii="FrankRuehl" w:hAnsi="FrankRuehl" w:cs="FrankRuehl"/>
          <w:sz w:val="28"/>
          <w:szCs w:val="28"/>
          <w:rtl/>
        </w:rPr>
        <w:t xml:space="preserve">, 29.4.2007, </w:t>
      </w:r>
      <w:r w:rsidRPr="00316007">
        <w:rPr>
          <w:rFonts w:ascii="FrankRuehl" w:eastAsia="Times New Roman" w:hAnsi="FrankRuehl" w:cs="FrankRuehl"/>
          <w:sz w:val="28"/>
          <w:szCs w:val="28"/>
          <w:rtl/>
        </w:rPr>
        <w:t xml:space="preserve">תא (י-ם) 12870-04-14  </w:t>
      </w:r>
      <w:r w:rsidRPr="00316007">
        <w:rPr>
          <w:rFonts w:ascii="Miriam" w:eastAsia="Times New Roman" w:hAnsi="Miriam" w:cs="Miriam"/>
          <w:sz w:val="24"/>
          <w:szCs w:val="24"/>
          <w:rtl/>
        </w:rPr>
        <w:t>מוחמד עוויסאת נ' יוסף אוחיון</w:t>
      </w:r>
      <w:r w:rsidRPr="00316007">
        <w:rPr>
          <w:rFonts w:ascii="FrankRuehl" w:eastAsia="Times New Roman" w:hAnsi="FrankRuehl" w:cs="FrankRuehl"/>
          <w:sz w:val="28"/>
          <w:szCs w:val="28"/>
          <w:rtl/>
        </w:rPr>
        <w:t xml:space="preserve">, 28.10.2015, </w:t>
      </w:r>
      <w:r w:rsidRPr="00316007">
        <w:rPr>
          <w:rFonts w:ascii="FrankRuehl" w:hAnsi="FrankRuehl" w:cs="FrankRuehl"/>
          <w:sz w:val="28"/>
          <w:szCs w:val="28"/>
          <w:rtl/>
        </w:rPr>
        <w:t>ת"א (שלום נצ') 22856-03-19</w:t>
      </w:r>
      <w:r w:rsidRPr="00316007">
        <w:rPr>
          <w:rFonts w:ascii="Miriam" w:hAnsi="Miriam" w:cs="Miriam"/>
          <w:sz w:val="24"/>
          <w:szCs w:val="24"/>
          <w:rtl/>
        </w:rPr>
        <w:t xml:space="preserve"> פלוני נ' שלו אוחיון</w:t>
      </w:r>
      <w:r w:rsidRPr="00316007">
        <w:rPr>
          <w:rFonts w:ascii="FrankRuehl" w:hAnsi="FrankRuehl" w:cs="FrankRuehl"/>
          <w:sz w:val="28"/>
          <w:szCs w:val="28"/>
          <w:rtl/>
        </w:rPr>
        <w:t>, 07.06.2021).</w:t>
      </w:r>
    </w:p>
    <w:p w:rsidR="004C3D00" w:rsidRPr="00316007" w:rsidRDefault="004C3D00" w:rsidP="004C3D00">
      <w:pPr>
        <w:pStyle w:val="ad"/>
        <w:numPr>
          <w:ilvl w:val="0"/>
          <w:numId w:val="1"/>
        </w:numPr>
        <w:spacing w:after="80" w:line="360" w:lineRule="auto"/>
        <w:ind w:left="357"/>
        <w:contextualSpacing w:val="0"/>
        <w:jc w:val="both"/>
        <w:rPr>
          <w:rFonts w:ascii="FrankRuehl" w:eastAsia="Times New Roman" w:hAnsi="FrankRuehl" w:cs="FrankRuehl"/>
          <w:sz w:val="28"/>
          <w:szCs w:val="28"/>
        </w:rPr>
      </w:pPr>
      <w:r w:rsidRPr="00316007">
        <w:rPr>
          <w:rFonts w:ascii="FrankRuehl" w:hAnsi="FrankRuehl" w:cs="FrankRuehl"/>
          <w:sz w:val="28"/>
          <w:szCs w:val="28"/>
          <w:rtl/>
        </w:rPr>
        <w:t>להשלמת התמונה אציין שלא מצאתי לקבל את טענת ב"כ התובע לענין "פיצוי עונשי". בהתאם להלכה הפסוקה פיצוי מעין זה הוא בגדר חריג המיועד ל</w:t>
      </w:r>
      <w:r w:rsidRPr="00316007">
        <w:rPr>
          <w:rFonts w:ascii="FrankRuehl" w:eastAsia="Times New Roman" w:hAnsi="FrankRuehl" w:cs="FrankRuehl"/>
          <w:sz w:val="28"/>
          <w:szCs w:val="28"/>
          <w:rtl/>
        </w:rPr>
        <w:t>מקרים "חמורים במיוחד", "מקוממים ומסלידים במיוחד</w:t>
      </w:r>
      <w:r w:rsidRPr="00316007">
        <w:rPr>
          <w:rFonts w:ascii="FrankRuehl" w:hAnsi="FrankRuehl" w:cs="FrankRuehl"/>
          <w:sz w:val="28"/>
          <w:szCs w:val="28"/>
          <w:rtl/>
        </w:rPr>
        <w:t>". הטעם לכך הוא כי הדבר חורג מהתכלית הבסיסית של דיני הנזיקין: "</w:t>
      </w:r>
      <w:r w:rsidRPr="00316007">
        <w:rPr>
          <w:rFonts w:ascii="Miriam" w:eastAsia="Times New Roman" w:hAnsi="Miriam" w:cs="Miriam"/>
          <w:sz w:val="24"/>
          <w:szCs w:val="24"/>
          <w:rtl/>
        </w:rPr>
        <w:t>הרציונל מאחורי הפיצויים העונשיים אינו "ריפוי" או "תיקון", כדרך המסורתית של דיני הנזיקין, אלא עונש והרתעה</w:t>
      </w:r>
      <w:r w:rsidRPr="00316007">
        <w:rPr>
          <w:rFonts w:ascii="FrankRuehl" w:eastAsia="Times New Roman" w:hAnsi="FrankRuehl" w:cs="FrankRuehl"/>
          <w:sz w:val="28"/>
          <w:szCs w:val="28"/>
          <w:rtl/>
        </w:rPr>
        <w:t>" (</w:t>
      </w:r>
      <w:hyperlink r:id="rId13" w:history="1">
        <w:r w:rsidRPr="00316007">
          <w:rPr>
            <w:rStyle w:val="Hyperlink"/>
            <w:rFonts w:ascii="FrankRuehl" w:eastAsia="Times New Roman" w:hAnsi="FrankRuehl" w:cs="FrankRuehl"/>
            <w:color w:val="auto"/>
            <w:sz w:val="28"/>
            <w:szCs w:val="28"/>
            <w:u w:val="none"/>
            <w:rtl/>
          </w:rPr>
          <w:t>ע"א 9656/06 </w:t>
        </w:r>
      </w:hyperlink>
      <w:r w:rsidRPr="00316007">
        <w:rPr>
          <w:rFonts w:ascii="FrankRuehl" w:eastAsia="Times New Roman" w:hAnsi="FrankRuehl" w:cs="FrankRuehl"/>
          <w:sz w:val="28"/>
          <w:szCs w:val="28"/>
          <w:rtl/>
        </w:rPr>
        <w:t> </w:t>
      </w:r>
      <w:r w:rsidRPr="00316007">
        <w:rPr>
          <w:rFonts w:ascii="Miriam" w:eastAsia="Times New Roman" w:hAnsi="Miriam" w:cs="Miriam"/>
          <w:sz w:val="24"/>
          <w:szCs w:val="24"/>
          <w:rtl/>
        </w:rPr>
        <w:t>עיזבון המנוחה ברטה מרציאנו ז"ל נ' ד"ר זינגר יהורם</w:t>
      </w:r>
      <w:r w:rsidRPr="00316007">
        <w:rPr>
          <w:rFonts w:ascii="FrankRuehl" w:eastAsia="Times New Roman" w:hAnsi="FrankRuehl" w:cs="FrankRuehl"/>
          <w:sz w:val="28"/>
          <w:szCs w:val="28"/>
          <w:rtl/>
        </w:rPr>
        <w:t xml:space="preserve">, 11.4.2005, פסקה לד). </w:t>
      </w:r>
      <w:r w:rsidRPr="00316007">
        <w:rPr>
          <w:rFonts w:ascii="FrankRuehl" w:hAnsi="FrankRuehl" w:cs="FrankRuehl"/>
          <w:sz w:val="28"/>
          <w:szCs w:val="28"/>
          <w:rtl/>
        </w:rPr>
        <w:t xml:space="preserve">בענייננו יש לשקול את נסיבות האירוע הפתאומיות (בעיטה אחת פתאומית), ואת גיל המעורבים. הנתבע הגיב באלימות כלפי התגרות מילולית זניחה, ואולם מבלי לגרוע מחומרתה של פגיעה פיסית זו שנעשתה ללא הצדקה, אין מדובר באירוע אלימות חריג וחמור במיוחד לענין החלת החריג המאפשר הטלת פיצוי "עונשי". </w:t>
      </w:r>
    </w:p>
    <w:p w:rsidR="004C3D00" w:rsidRDefault="004C3D00" w:rsidP="004C3D00">
      <w:pPr>
        <w:spacing w:after="80" w:line="360" w:lineRule="auto"/>
        <w:jc w:val="both"/>
        <w:rPr>
          <w:rFonts w:ascii="FrankRuehl" w:eastAsiaTheme="minorHAnsi" w:hAnsi="FrankRuehl" w:cs="FrankRuehl"/>
          <w:sz w:val="28"/>
          <w:szCs w:val="28"/>
          <w:rtl/>
        </w:rPr>
      </w:pPr>
      <w:r>
        <w:rPr>
          <w:rFonts w:ascii="FrankRuehl" w:hAnsi="FrankRuehl" w:cs="FrankRuehl"/>
          <w:sz w:val="28"/>
          <w:szCs w:val="28"/>
          <w:u w:val="single"/>
          <w:rtl/>
        </w:rPr>
        <w:lastRenderedPageBreak/>
        <w:t>הוצאות רפואיות</w:t>
      </w:r>
      <w:r>
        <w:rPr>
          <w:rFonts w:ascii="FrankRuehl" w:hAnsi="FrankRuehl" w:cs="FrankRuehl"/>
          <w:sz w:val="28"/>
          <w:szCs w:val="28"/>
          <w:rtl/>
        </w:rPr>
        <w:t xml:space="preserve">: </w:t>
      </w:r>
    </w:p>
    <w:p w:rsidR="004C3D00" w:rsidRDefault="004C3D00" w:rsidP="004C3D00">
      <w:pPr>
        <w:pStyle w:val="ad"/>
        <w:numPr>
          <w:ilvl w:val="0"/>
          <w:numId w:val="1"/>
        </w:numPr>
        <w:spacing w:after="80" w:line="360" w:lineRule="auto"/>
        <w:ind w:left="357"/>
        <w:contextualSpacing w:val="0"/>
        <w:jc w:val="both"/>
        <w:rPr>
          <w:rFonts w:ascii="FrankRuehl" w:hAnsi="FrankRuehl" w:cs="FrankRuehl"/>
          <w:sz w:val="28"/>
          <w:szCs w:val="28"/>
          <w:rtl/>
        </w:rPr>
      </w:pPr>
      <w:r>
        <w:rPr>
          <w:rFonts w:ascii="FrankRuehl" w:hAnsi="FrankRuehl" w:cs="FrankRuehl"/>
          <w:sz w:val="28"/>
          <w:szCs w:val="28"/>
          <w:rtl/>
        </w:rPr>
        <w:t xml:space="preserve">צורפו אישורים על </w:t>
      </w:r>
      <w:r>
        <w:rPr>
          <w:rFonts w:ascii="FrankRuehl" w:eastAsia="Times New Roman" w:hAnsi="FrankRuehl" w:cs="FrankRuehl"/>
          <w:sz w:val="28"/>
          <w:szCs w:val="28"/>
          <w:rtl/>
        </w:rPr>
        <w:t>הטיפולים</w:t>
      </w:r>
      <w:r>
        <w:rPr>
          <w:rFonts w:ascii="FrankRuehl" w:hAnsi="FrankRuehl" w:cs="FrankRuehl"/>
          <w:sz w:val="28"/>
          <w:szCs w:val="28"/>
          <w:rtl/>
        </w:rPr>
        <w:t xml:space="preserve"> (הן הטיפולים בישראל והן בחו"ל), והנתבע העיד בתצהירו כי נגרמו לו הוצאות בגין השתתפות עצמית מסוימת בהפעלת הביטוח הרפואי בארצות הברית. עם זאת לא פורטו התשלומים שנבעו כתוצאה מהפגיעה באף. בנסיבות אלה אני סבור שנכון לקבוע סכום גלובלי בגין ההוצאות הרפואיות ואני מעמיד אותו על סכום של 10,000 ₪.</w:t>
      </w:r>
    </w:p>
    <w:p w:rsidR="004C3D00" w:rsidRDefault="004C3D00" w:rsidP="004C3D00">
      <w:pPr>
        <w:spacing w:after="80" w:line="360" w:lineRule="auto"/>
        <w:ind w:left="-3"/>
        <w:jc w:val="both"/>
        <w:rPr>
          <w:rFonts w:ascii="FrankRuehl" w:hAnsi="FrankRuehl" w:cs="FrankRuehl"/>
          <w:sz w:val="28"/>
          <w:szCs w:val="28"/>
          <w:u w:val="single"/>
        </w:rPr>
      </w:pPr>
      <w:r>
        <w:rPr>
          <w:rFonts w:ascii="FrankRuehl" w:hAnsi="FrankRuehl" w:cs="FrankRuehl"/>
          <w:sz w:val="28"/>
          <w:szCs w:val="28"/>
          <w:u w:val="single"/>
          <w:rtl/>
        </w:rPr>
        <w:t xml:space="preserve">סיכום, הוצאות משפט ושכ"ט עו"ד: </w:t>
      </w:r>
    </w:p>
    <w:p w:rsidR="004C3D00" w:rsidRDefault="004C3D00" w:rsidP="004C3D00">
      <w:pPr>
        <w:pStyle w:val="ad"/>
        <w:numPr>
          <w:ilvl w:val="0"/>
          <w:numId w:val="1"/>
        </w:numPr>
        <w:spacing w:after="80" w:line="360" w:lineRule="auto"/>
        <w:ind w:left="357"/>
        <w:contextualSpacing w:val="0"/>
        <w:jc w:val="both"/>
        <w:rPr>
          <w:rFonts w:ascii="FrankRuehl" w:hAnsi="FrankRuehl" w:cs="FrankRuehl"/>
          <w:sz w:val="28"/>
          <w:szCs w:val="28"/>
          <w:rtl/>
        </w:rPr>
      </w:pPr>
      <w:r>
        <w:rPr>
          <w:rFonts w:ascii="FrankRuehl" w:hAnsi="FrankRuehl" w:cs="FrankRuehl"/>
          <w:sz w:val="28"/>
          <w:szCs w:val="28"/>
          <w:rtl/>
        </w:rPr>
        <w:t>לסיכום ולאחר שמצאתי את התובע אחראי לנזק שנגרם עקב תקיפה, ולאור האמור, ישלם הנתבע לתובע סכום בסך 50,000 ₪. התביעות נגד הנתבעים 2,3 (הוריו של הנתבע) ונגד הנתבעת 4 (המבטחת), נדחות.</w:t>
      </w:r>
    </w:p>
    <w:p w:rsidR="004C3D00" w:rsidRDefault="004C3D00" w:rsidP="00CA34D6">
      <w:pPr>
        <w:pStyle w:val="ad"/>
        <w:numPr>
          <w:ilvl w:val="0"/>
          <w:numId w:val="1"/>
        </w:numPr>
        <w:spacing w:after="80" w:line="360" w:lineRule="auto"/>
        <w:ind w:left="357"/>
        <w:contextualSpacing w:val="0"/>
        <w:jc w:val="both"/>
        <w:rPr>
          <w:rFonts w:ascii="FrankRuehl" w:hAnsi="FrankRuehl" w:cs="FrankRuehl"/>
          <w:sz w:val="28"/>
          <w:szCs w:val="28"/>
        </w:rPr>
      </w:pPr>
      <w:r>
        <w:rPr>
          <w:rFonts w:ascii="FrankRuehl" w:hAnsi="FrankRuehl" w:cs="FrankRuehl"/>
          <w:sz w:val="28"/>
          <w:szCs w:val="28"/>
          <w:rtl/>
        </w:rPr>
        <w:t xml:space="preserve">בשים לב לקביעה שלפיה לא הוכח קשר סיבתי בין האירוע ובין הנזק בצוואר, אין מקום להחזר הוצאות שכר המומחים ובנסיבות המקרה יישא כל אחד מהצדדים בהוצאותיו בהקשר זה. </w:t>
      </w:r>
      <w:r w:rsidR="00CA34D6">
        <w:rPr>
          <w:rFonts w:ascii="FrankRuehl" w:hAnsi="FrankRuehl" w:cs="FrankRuehl" w:hint="cs"/>
          <w:sz w:val="28"/>
          <w:szCs w:val="28"/>
          <w:rtl/>
        </w:rPr>
        <w:t xml:space="preserve">באשר להוצאות האגרה, </w:t>
      </w:r>
      <w:r>
        <w:rPr>
          <w:rFonts w:ascii="FrankRuehl" w:hAnsi="FrankRuehl" w:cs="FrankRuehl"/>
          <w:sz w:val="28"/>
          <w:szCs w:val="28"/>
          <w:rtl/>
        </w:rPr>
        <w:t>י</w:t>
      </w:r>
      <w:r w:rsidR="00CA34D6">
        <w:rPr>
          <w:rFonts w:ascii="FrankRuehl" w:hAnsi="FrankRuehl" w:cs="FrankRuehl" w:hint="cs"/>
          <w:sz w:val="28"/>
          <w:szCs w:val="28"/>
          <w:rtl/>
        </w:rPr>
        <w:t xml:space="preserve">שיב </w:t>
      </w:r>
      <w:r>
        <w:rPr>
          <w:rFonts w:ascii="FrankRuehl" w:hAnsi="FrankRuehl" w:cs="FrankRuehl"/>
          <w:sz w:val="28"/>
          <w:szCs w:val="28"/>
          <w:rtl/>
        </w:rPr>
        <w:t xml:space="preserve">הנתבע </w:t>
      </w:r>
      <w:r w:rsidR="00CA34D6">
        <w:rPr>
          <w:rFonts w:ascii="FrankRuehl" w:hAnsi="FrankRuehl" w:cs="FrankRuehl" w:hint="cs"/>
          <w:sz w:val="28"/>
          <w:szCs w:val="28"/>
          <w:rtl/>
        </w:rPr>
        <w:t>לתובע את סכום האגרה ששולם וכמו כן יישא הנתבע ביתרת האגרה</w:t>
      </w:r>
      <w:r>
        <w:rPr>
          <w:rFonts w:ascii="FrankRuehl" w:hAnsi="FrankRuehl" w:cs="FrankRuehl"/>
          <w:sz w:val="28"/>
          <w:szCs w:val="28"/>
          <w:rtl/>
        </w:rPr>
        <w:t xml:space="preserve">. </w:t>
      </w:r>
    </w:p>
    <w:p w:rsidR="004C3D00" w:rsidRDefault="004C3D00" w:rsidP="00CA34D6">
      <w:pPr>
        <w:pStyle w:val="ad"/>
        <w:spacing w:after="80" w:line="360" w:lineRule="auto"/>
        <w:ind w:left="357"/>
        <w:contextualSpacing w:val="0"/>
        <w:jc w:val="both"/>
        <w:rPr>
          <w:rFonts w:ascii="FrankRuehl" w:hAnsi="FrankRuehl" w:cs="FrankRuehl"/>
          <w:sz w:val="28"/>
          <w:szCs w:val="28"/>
        </w:rPr>
      </w:pPr>
      <w:r>
        <w:rPr>
          <w:rFonts w:ascii="FrankRuehl" w:hAnsi="FrankRuehl" w:cs="FrankRuehl"/>
          <w:sz w:val="28"/>
          <w:szCs w:val="28"/>
          <w:rtl/>
        </w:rPr>
        <w:t>באשר לשכ"ט עו"ד ובשים לב לתוצאות ההליך, יישא הנתבע בהוצאות שכ"ט עו"ד מטעם התובע בסכום של 11,700 ₪. לאור דחיית התביעה נגד הנתבעים 2,3</w:t>
      </w:r>
      <w:r w:rsidR="00CA34D6">
        <w:rPr>
          <w:rFonts w:ascii="FrankRuehl" w:hAnsi="FrankRuehl" w:cs="FrankRuehl" w:hint="cs"/>
          <w:sz w:val="28"/>
          <w:szCs w:val="28"/>
          <w:rtl/>
        </w:rPr>
        <w:t xml:space="preserve">, </w:t>
      </w:r>
      <w:r>
        <w:rPr>
          <w:rFonts w:ascii="FrankRuehl" w:hAnsi="FrankRuehl" w:cs="FrankRuehl"/>
          <w:sz w:val="28"/>
          <w:szCs w:val="28"/>
          <w:rtl/>
        </w:rPr>
        <w:t xml:space="preserve">לאחר שנתתי דעתי לקביעה באשר להעדר בסיס לתביעה זו ולצד זאת לייצוג המשותף של הנתבעים 1-3 ולכך שמרבית ההוצאות התחייבות עקב ייצוג הנתבע 1, </w:t>
      </w:r>
      <w:r w:rsidR="00CA34D6">
        <w:rPr>
          <w:rFonts w:ascii="FrankRuehl" w:hAnsi="FrankRuehl" w:cs="FrankRuehl" w:hint="cs"/>
          <w:sz w:val="28"/>
          <w:szCs w:val="28"/>
          <w:rtl/>
        </w:rPr>
        <w:t xml:space="preserve">אני קובע כי התובע יישא </w:t>
      </w:r>
      <w:r>
        <w:rPr>
          <w:rFonts w:ascii="FrankRuehl" w:hAnsi="FrankRuehl" w:cs="FrankRuehl"/>
          <w:sz w:val="28"/>
          <w:szCs w:val="28"/>
          <w:rtl/>
        </w:rPr>
        <w:t xml:space="preserve">בהוצאות </w:t>
      </w:r>
      <w:r w:rsidR="00CA34D6">
        <w:rPr>
          <w:rFonts w:ascii="FrankRuehl" w:hAnsi="FrankRuehl" w:cs="FrankRuehl" w:hint="cs"/>
          <w:sz w:val="28"/>
          <w:szCs w:val="28"/>
          <w:rtl/>
        </w:rPr>
        <w:t>ה</w:t>
      </w:r>
      <w:r>
        <w:rPr>
          <w:rFonts w:ascii="FrankRuehl" w:hAnsi="FrankRuehl" w:cs="FrankRuehl"/>
          <w:sz w:val="28"/>
          <w:szCs w:val="28"/>
          <w:rtl/>
        </w:rPr>
        <w:t>נתבעים</w:t>
      </w:r>
      <w:r w:rsidR="00CA34D6">
        <w:rPr>
          <w:rFonts w:ascii="FrankRuehl" w:hAnsi="FrankRuehl" w:cs="FrankRuehl" w:hint="cs"/>
          <w:sz w:val="28"/>
          <w:szCs w:val="28"/>
          <w:rtl/>
        </w:rPr>
        <w:t xml:space="preserve"> 2,3 </w:t>
      </w:r>
      <w:r>
        <w:rPr>
          <w:rFonts w:ascii="FrankRuehl" w:hAnsi="FrankRuehl" w:cs="FrankRuehl"/>
          <w:sz w:val="28"/>
          <w:szCs w:val="28"/>
          <w:rtl/>
        </w:rPr>
        <w:t xml:space="preserve">בסכום של 5,850 ₪. </w:t>
      </w:r>
    </w:p>
    <w:p w:rsidR="00694556" w:rsidRPr="004C3D00" w:rsidRDefault="00694556">
      <w:pPr>
        <w:spacing w:line="360" w:lineRule="auto"/>
        <w:jc w:val="both"/>
        <w:rPr>
          <w:rFonts w:ascii="Arial" w:hAnsi="Arial"/>
          <w:noProof w:val="0"/>
          <w:rtl/>
        </w:rPr>
      </w:pPr>
    </w:p>
    <w:p w:rsidR="00694556" w:rsidRPr="004C3D00" w:rsidRDefault="0043502B" w:rsidP="00860102">
      <w:pPr>
        <w:spacing w:line="360" w:lineRule="auto"/>
        <w:jc w:val="both"/>
        <w:rPr>
          <w:rFonts w:ascii="FrankRuehl" w:hAnsi="FrankRuehl" w:cs="FrankRuehl"/>
          <w:noProof w:val="0"/>
          <w:sz w:val="28"/>
          <w:szCs w:val="28"/>
          <w:rtl/>
        </w:rPr>
      </w:pPr>
      <w:r w:rsidRPr="004C3D00">
        <w:rPr>
          <w:rFonts w:ascii="FrankRuehl" w:hAnsi="FrankRuehl" w:cs="FrankRuehl"/>
          <w:noProof w:val="0"/>
          <w:sz w:val="28"/>
          <w:szCs w:val="28"/>
          <w:rtl/>
        </w:rPr>
        <w:t>נית</w:t>
      </w:r>
      <w:r w:rsidR="00860102" w:rsidRPr="004C3D00">
        <w:rPr>
          <w:rFonts w:ascii="FrankRuehl" w:hAnsi="FrankRuehl" w:cs="FrankRuehl"/>
          <w:noProof w:val="0"/>
          <w:sz w:val="28"/>
          <w:szCs w:val="28"/>
          <w:rtl/>
        </w:rPr>
        <w:t>ן</w:t>
      </w:r>
      <w:r w:rsidR="00005C8B" w:rsidRPr="004C3D00">
        <w:rPr>
          <w:rFonts w:ascii="FrankRuehl" w:hAnsi="FrankRuehl" w:cs="FrankRuehl"/>
          <w:noProof w:val="0"/>
          <w:sz w:val="28"/>
          <w:szCs w:val="28"/>
          <w:rtl/>
        </w:rPr>
        <w:t xml:space="preserve"> היום, </w:t>
      </w:r>
      <w:sdt>
        <w:sdtPr>
          <w:rPr>
            <w:rFonts w:ascii="FrankRuehl" w:hAnsi="FrankRuehl" w:cs="FrankRuehl"/>
            <w:sz w:val="28"/>
            <w:szCs w:val="28"/>
            <w:rtl/>
          </w:rPr>
          <w:alias w:val="1455"/>
          <w:tag w:val="1455"/>
          <w:id w:val="1666048407"/>
          <w:text w:multiLine="1"/>
        </w:sdtPr>
        <w:sdtEndPr/>
        <w:sdtContent>
          <w:r>
            <w:rPr>
              <w:rFonts w:ascii="FrankRuehl" w:hAnsi="FrankRuehl" w:cs="FrankRuehl"/>
              <w:noProof w:val="0"/>
              <w:sz w:val="28"/>
              <w:szCs w:val="28"/>
              <w:rtl/>
            </w:rPr>
            <w:t>ד' ניסן תשפ"ג</w:t>
          </w:r>
        </w:sdtContent>
      </w:sdt>
      <w:r w:rsidR="00005C8B" w:rsidRPr="004C3D00">
        <w:rPr>
          <w:rFonts w:ascii="FrankRuehl" w:hAnsi="FrankRuehl" w:cs="FrankRuehl"/>
          <w:noProof w:val="0"/>
          <w:sz w:val="28"/>
          <w:szCs w:val="28"/>
          <w:rtl/>
        </w:rPr>
        <w:t xml:space="preserve">, </w:t>
      </w:r>
      <w:sdt>
        <w:sdtPr>
          <w:rPr>
            <w:rFonts w:ascii="FrankRuehl" w:hAnsi="FrankRuehl" w:cs="FrankRuehl"/>
            <w:sz w:val="28"/>
            <w:szCs w:val="28"/>
            <w:rtl/>
          </w:rPr>
          <w:alias w:val="1456"/>
          <w:tag w:val="1456"/>
          <w:id w:val="-1186288958"/>
          <w:text w:multiLine="1"/>
        </w:sdtPr>
        <w:sdtEndPr/>
        <w:sdtContent>
          <w:r>
            <w:rPr>
              <w:rFonts w:ascii="FrankRuehl" w:hAnsi="FrankRuehl" w:cs="FrankRuehl"/>
              <w:noProof w:val="0"/>
              <w:sz w:val="28"/>
              <w:szCs w:val="28"/>
              <w:rtl/>
            </w:rPr>
            <w:t>26 מרץ 2023</w:t>
          </w:r>
        </w:sdtContent>
      </w:sdt>
      <w:r w:rsidR="00005C8B" w:rsidRPr="004C3D00">
        <w:rPr>
          <w:rFonts w:ascii="FrankRuehl" w:hAnsi="FrankRuehl" w:cs="FrankRuehl"/>
          <w:noProof w:val="0"/>
          <w:sz w:val="28"/>
          <w:szCs w:val="28"/>
          <w:rtl/>
        </w:rPr>
        <w:t>, בהעדר הצדדים.</w:t>
      </w:r>
    </w:p>
    <w:p w:rsidR="00C43648" w:rsidRPr="004C3D00" w:rsidRDefault="00FF1D93" w:rsidP="00BD6531">
      <w:pPr>
        <w:tabs>
          <w:tab w:val="left" w:pos="2553"/>
        </w:tabs>
        <w:ind w:left="5040"/>
        <w:rPr>
          <w:rFonts w:ascii="FrankRuehl" w:hAnsi="FrankRuehl" w:cs="FrankRuehl"/>
          <w:sz w:val="28"/>
          <w:szCs w:val="28"/>
          <w:rtl/>
        </w:rPr>
      </w:pPr>
      <w:sdt>
        <w:sdtPr>
          <w:rPr>
            <w:rFonts w:ascii="FrankRuehl" w:hAnsi="FrankRuehl" w:cs="FrankRuehl"/>
            <w:sz w:val="28"/>
            <w:szCs w:val="28"/>
            <w:rtl/>
          </w:rPr>
          <w:alias w:val="2045"/>
          <w:tag w:val="2045"/>
          <w:id w:val="740689340"/>
          <w:placeholder>
            <w:docPart w:val="E460D38E05664FF79D4EFF282EF8EC99"/>
          </w:placeholder>
          <w:showingPlcHdr/>
          <w:text w:multiLine="1"/>
        </w:sdtPr>
        <w:sdtEndPr/>
        <w:sdtContent>
          <w:r w:rsidR="00C43648" w:rsidRPr="004C3D00">
            <w:rPr>
              <w:rFonts w:ascii="FrankRuehl" w:hAnsi="FrankRuehl" w:cs="FrankRuehl"/>
              <w:sz w:val="28"/>
              <w:szCs w:val="28"/>
              <w:rtl/>
            </w:rPr>
            <w:t xml:space="preserve">     </w:t>
          </w:r>
        </w:sdtContent>
      </w:sdt>
    </w:p>
    <w:p w:rsidR="00694556" w:rsidRPr="004C3D00" w:rsidRDefault="00BD6531" w:rsidP="00BD6531">
      <w:pPr>
        <w:tabs>
          <w:tab w:val="left" w:pos="2553"/>
        </w:tabs>
      </w:pPr>
      <w:r w:rsidRPr="004C3D00">
        <w:rPr>
          <w:rFonts w:ascii="FrankRuehl" w:hAnsi="FrankRuehl" w:cs="FrankRuehl"/>
          <w:sz w:val="28"/>
          <w:szCs w:val="28"/>
          <w:rtl/>
        </w:rPr>
        <w:tab/>
      </w:r>
      <w:r w:rsidRPr="004C3D00">
        <w:rPr>
          <w:rFonts w:ascii="FrankRuehl" w:hAnsi="FrankRuehl" w:cs="FrankRuehl"/>
          <w:sz w:val="28"/>
          <w:szCs w:val="28"/>
          <w:rtl/>
        </w:rPr>
        <w:tab/>
      </w:r>
      <w:r w:rsidRPr="004C3D00">
        <w:rPr>
          <w:rFonts w:ascii="FrankRuehl" w:hAnsi="FrankRuehl" w:cs="FrankRuehl"/>
          <w:sz w:val="28"/>
          <w:szCs w:val="28"/>
          <w:rtl/>
        </w:rPr>
        <w:tab/>
      </w:r>
      <w:r w:rsidRPr="004C3D00">
        <w:rPr>
          <w:rFonts w:ascii="FrankRuehl" w:hAnsi="FrankRuehl" w:cs="FrankRuehl"/>
          <w:sz w:val="28"/>
          <w:szCs w:val="28"/>
          <w:rtl/>
        </w:rPr>
        <w:tab/>
        <w:t xml:space="preserve">        </w:t>
      </w:r>
      <w:sdt>
        <w:sdtPr>
          <w:rPr>
            <w:rtl/>
          </w:rPr>
          <w:alias w:val="MergeField"/>
          <w:tag w:val="1237"/>
          <w:id w:val="245083836"/>
        </w:sdtPr>
        <w:sdtEndPr/>
        <w:sdtContent>
          <w:r w:rsidR="008A0B33">
            <w:drawing>
              <wp:inline distT="0" distB="0" distL="0" distR="0" wp14:editId="50D07946">
                <wp:extent cx="1619250"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4" cstate="print">
                          <a:extLst/>
                        </a:blip>
                        <a:stretch>
                          <a:fillRect/>
                        </a:stretch>
                      </pic:blipFill>
                      <pic:spPr>
                        <a:xfrm>
                          <a:off x="0" y="0"/>
                          <a:ext cx="1619250" cy="638175"/>
                        </a:xfrm>
                        <a:prstGeom prst="rect">
                          <a:avLst/>
                        </a:prstGeom>
                      </pic:spPr>
                    </pic:pic>
                  </a:graphicData>
                </a:graphic>
              </wp:inline>
            </w:drawing>
          </w:r>
        </w:sdtContent>
      </w:sdt>
    </w:p>
    <w:p w:rsidR="00694556" w:rsidRPr="004C3D00" w:rsidRDefault="00694556" w:rsidP="00BD6531">
      <w:pPr>
        <w:tabs>
          <w:tab w:val="left" w:pos="2553"/>
        </w:tabs>
        <w:rPr>
          <w:rFonts w:ascii="FrankRuehl" w:hAnsi="FrankRuehl" w:cs="FrankRuehl"/>
          <w:noProof w:val="0"/>
          <w:sz w:val="28"/>
          <w:szCs w:val="28"/>
          <w:rtl/>
        </w:rPr>
      </w:pPr>
    </w:p>
    <w:sectPr w:rsidR="00694556" w:rsidRPr="004C3D00" w:rsidSect="004C3D00">
      <w:headerReference w:type="default" r:id="rId15"/>
      <w:footerReference w:type="default" r:id="rId16"/>
      <w:pgSz w:w="11907" w:h="16840" w:code="9"/>
      <w:pgMar w:top="1440" w:right="1800" w:bottom="1440" w:left="1800" w:header="720" w:footer="510"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1D93" w:rsidRDefault="00FF1D93">
      <w:r>
        <w:separator/>
      </w:r>
    </w:p>
  </w:endnote>
  <w:endnote w:type="continuationSeparator" w:id="0">
    <w:p w:rsidR="00FF1D93" w:rsidRDefault="00FF1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5223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52235">
      <w:rPr>
        <w:rStyle w:val="ab"/>
        <w:rtl/>
      </w:rPr>
      <w:t>18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1D93" w:rsidRDefault="00FF1D93">
      <w:r>
        <w:separator/>
      </w:r>
    </w:p>
  </w:footnote>
  <w:footnote w:type="continuationSeparator" w:id="0">
    <w:p w:rsidR="00FF1D93" w:rsidRDefault="00FF1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FF1D93" w:rsidP="00413A8E">
          <w:pPr>
            <w:rPr>
              <w:b/>
              <w:bCs/>
              <w:noProof w:val="0"/>
              <w:sz w:val="26"/>
              <w:szCs w:val="26"/>
              <w:rtl/>
            </w:rPr>
          </w:pPr>
          <w:sdt>
            <w:sdtPr>
              <w:rPr>
                <w:rtl/>
              </w:rPr>
              <w:alias w:val="1170"/>
              <w:tag w:val="1170"/>
              <w:id w:val="1066377040"/>
              <w:text w:multiLine="1"/>
            </w:sdtPr>
            <w:sdtEndPr/>
            <w:sdtContent>
              <w:r w:rsidR="00B859C5">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B859C5">
                <w:rPr>
                  <w:b/>
                  <w:bCs/>
                  <w:noProof w:val="0"/>
                  <w:sz w:val="26"/>
                  <w:szCs w:val="26"/>
                  <w:rtl/>
                </w:rPr>
                <w:t>55543-12-17</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859C5">
                <w:rPr>
                  <w:b/>
                  <w:bCs/>
                  <w:noProof w:val="0"/>
                  <w:sz w:val="26"/>
                  <w:szCs w:val="26"/>
                  <w:rtl/>
                </w:rPr>
                <w:t xml:space="preserve">פלוני נ' </w:t>
              </w:r>
              <w:r w:rsidR="00413A8E">
                <w:rPr>
                  <w:rFonts w:hint="cs"/>
                  <w:b/>
                  <w:bCs/>
                  <w:noProof w:val="0"/>
                  <w:sz w:val="26"/>
                  <w:szCs w:val="26"/>
                  <w:rtl/>
                </w:rPr>
                <w:t>פלוני</w:t>
              </w:r>
              <w:r w:rsidR="00B859C5">
                <w:rPr>
                  <w:b/>
                  <w:bCs/>
                  <w:noProof w:val="0"/>
                  <w:sz w:val="26"/>
                  <w:szCs w:val="26"/>
                  <w:rtl/>
                </w:rPr>
                <w:t xml:space="preserve">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C3797"/>
    <w:multiLevelType w:val="hybridMultilevel"/>
    <w:tmpl w:val="E308398E"/>
    <w:lvl w:ilvl="0" w:tplc="C8EEEB14">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041BD9"/>
    <w:multiLevelType w:val="hybridMultilevel"/>
    <w:tmpl w:val="59E07AA6"/>
    <w:lvl w:ilvl="0" w:tplc="E42CFBFA">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8572E68"/>
    <w:multiLevelType w:val="hybridMultilevel"/>
    <w:tmpl w:val="EB2CBCAE"/>
    <w:lvl w:ilvl="0" w:tplc="19F89882">
      <w:start w:val="1"/>
      <w:numFmt w:val="decimal"/>
      <w:lvlText w:val="%1."/>
      <w:lvlJc w:val="left"/>
      <w:pPr>
        <w:ind w:left="360" w:hanging="360"/>
      </w:pPr>
      <w:rPr>
        <w:lang w:val="en-US" w:bidi="he-IL"/>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5102585"/>
    <w:docVar w:name="CourtID" w:val="30"/>
    <w:docVar w:name="DocumentDS" w:val="&amp;lt;?xml version=&amp;quot;1.0&amp;quot;?&amp;gt;_x000d__x000a_&amp;lt;DocumentDS&amp;gt;_x000d__x000a_  &amp;lt;xs:schema id=&amp;quot;DocumentDS&amp;quot; targetNamespace=&amp;quot;http://www.tempuri.org/DocumentDS.xsd&amp;quot; xmlns:mstns=&amp;quot;http://www.tempuri.org/DocumentDS.xsd&amp;quot; xmlns=&amp;quot;http://www.tempuri.org/DocumentDS.xsd&amp;quot; xmlns:xs=&amp;quot;http://www.w3.org/2001/XMLSchema&amp;quot; xmlns:msdata=&amp;quot;urn:schemas-microsoft-com:xml-msdata&amp;quot; attributeFormDefault=&amp;quot;qualified&amp;quot; elementFormDefault=&amp;quot;qualified&amp;quot;&amp;gt;_x000d__x000a_    &amp;lt;xs:element name=&amp;quot;DocumentDS&amp;quot; msdata:IsDataSet=&amp;quot;true&amp;quot; msdata:Locale=&amp;quot;en-US&amp;quot;&amp;gt;_x000d__x000a_      &amp;lt;xs:complexType&amp;gt;_x000d__x000a_        &amp;lt;xs:choice minOccurs=&amp;quot;0&amp;quot; maxOccurs=&amp;quot;unbounded&amp;quot;&amp;gt;_x000d__x000a_          &amp;lt;xs:element name=&amp;quot;dt_DocumentCase&amp;quot;&amp;gt;_x000d__x000a_            &amp;lt;xs:complexType&amp;gt;_x000d__x000a_              &amp;lt;xs:sequence&amp;gt;_x000d__x000a_                &amp;lt;xs:element name=&amp;quot;CaseID&amp;quot; type=&amp;quot;xs:int&amp;quot; /&amp;gt;_x000d__x000a_                &amp;lt;xs:element name=&amp;quot;DocumentID&amp;quot; type=&amp;quot;xs:int&amp;quot; /&amp;gt;_x000d__x000a_              &amp;lt;/xs:sequence&amp;gt;_x000d__x000a_            &amp;lt;/xs:complexType&amp;gt;_x000d__x000a_          &amp;lt;/xs:element&amp;gt;_x000d__x000a_          &amp;lt;xs:element name=&amp;quot;dt_Bookmark&amp;quot;&amp;gt;_x000d__x000a_            &amp;lt;xs:complexType&amp;gt;_x000d__x000a_              &amp;lt;xs:sequence&amp;gt;_x000d__x000a_                &amp;lt;xs:element name=&amp;quot;Bookmark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BookmarkName&amp;quot; type=&amp;quot;xs:string&amp;quot; minOccurs=&amp;quot;0&amp;quot; /&amp;gt;_x000d__x000a_                &amp;lt;xs:element name=&amp;quot;DocumentPage&amp;quot; type=&amp;quot;xs:int&amp;quot; minOccurs=&amp;quot;0&amp;quot; /&amp;gt;_x000d__x000a_              &amp;lt;/xs:sequence&amp;gt;_x000d__x000a_            &amp;lt;/xs:complexType&amp;gt;_x000d__x000a_          &amp;lt;/xs:element&amp;gt;_x000d__x000a_          &amp;lt;xs:element name=&amp;quot;dt_Document&amp;quot;&amp;gt;_x000d__x000a_            &amp;lt;xs:complexType&amp;gt;_x000d__x000a_              &amp;lt;xs:sequence&amp;gt;_x000d__x000a_                &amp;lt;xs:element name=&amp;quot;DocumentID&amp;quot; msdata:ReadOnly=&amp;quot;true&amp;quot; msdata:AutoIncrement=&amp;quot;true&amp;quot; msdata:AutoIncrementSeed=&amp;quot;-1&amp;quot; msdata:AutoIncrementStep=&amp;quot;-1&amp;quot; type=&amp;quot;xs:int&amp;quot; /&amp;gt;_x000d__x000a_                &amp;lt;xs:element name=&amp;quot;DocumentMainID&amp;quot; type=&amp;quot;xs:int&amp;quot; /&amp;gt;_x000d__x000a_                &amp;lt;xs:element name=&amp;quot;CaseID&amp;quot; type=&amp;quot;xs:int&amp;quot; minOccurs=&amp;quot;0&amp;quot; /&amp;gt;_x000d__x000a_                &amp;lt;xs:element name=&amp;quot;ConvertCaseID&amp;quot; type=&amp;quot;xs:int&amp;quot; minOccurs=&amp;quot;0&amp;quot; /&amp;gt;_x000d__x000a_                &amp;lt;xs:element name=&amp;quot;OldDocumentID&amp;quot; type=&amp;quot;xs:string&amp;quot; minOccurs=&amp;quot;0&amp;quot; /&amp;gt;_x000d__x000a_                &amp;lt;xs:element name=&amp;quot;OldCaseID&amp;quot; type=&amp;quot;xs:string&amp;quot; minOccurs=&amp;quot;0&amp;quot; /&amp;gt;_x000d__x000a_                &amp;lt;xs:element name=&amp;quot;DocumentIncludedDate&amp;quot; type=&amp;quot;xs:dateTime&amp;quot; /&amp;gt;_x000d__x000a_                &amp;lt;xs:element name=&amp;quot;DocumentDesc&amp;quot; type=&amp;quot;xs:string&amp;quot; /&amp;gt;_x000d__x000a_                &amp;lt;xs:element name=&amp;quot;DocumentDirectionID&amp;quot; type=&amp;quot;xs:int&amp;quot; minOccurs=&amp;quot;0&amp;quot; /&amp;gt;_x000d__x000a_                &amp;lt;xs:element name=&amp;quot;SourceID&amp;quot; type=&amp;quot;xs:int&amp;quot; minOccurs=&amp;quot;0&amp;quot; /&amp;gt;_x000d__x000a_                &amp;lt;xs:element name=&amp;quot;SavingMethodID&amp;quot; type=&amp;quot;xs:int&amp;quot; minOccurs=&amp;quot;0&amp;quot; /&amp;gt;_x000d__x000a_                &amp;lt;xs:element name=&amp;quot;PaperDocumentSavingPlace&amp;quot; type=&amp;quot;xs:string&amp;quot; minOccurs=&amp;quot;0&amp;quot; /&amp;gt;_x000d__x000a_                &amp;lt;xs:element name=&amp;quot;VersionNumber&amp;quot; type=&amp;quot;xs:int&amp;quot; /&amp;gt;_x000d__x000a_                &amp;lt;xs:element name=&amp;quot;DocumentVersionTypeID&amp;quot; type=&amp;quot;xs:int&amp;quot; minOccurs=&amp;quot;0&amp;quot; /&amp;gt;_x000d__x000a_                &amp;lt;xs:element name=&amp;quot;IsAttachment&amp;quot; type=&amp;quot;xs:boolean&amp;quot; /&amp;gt;_x000d__x000a_                &amp;lt;xs:element name=&amp;quot;AttachmentOrdinalNumber&amp;quot; type=&amp;quot;xs:int&amp;quot; minOccurs=&amp;quot;0&amp;quot; /&amp;gt;_x000d__x000a_                &amp;lt;xs:element name=&amp;quot;DocumentTypeID&amp;quot; type=&amp;quot;xs:int&amp;quot; minOccurs=&amp;quot;0&amp;quot; /&amp;gt;_x000d__x000a_                &amp;lt;xs:element name=&amp;quot;DocumentSavingDate&amp;quot; type=&amp;quot;xs:dateTime&amp;quot; minOccurs=&amp;quot;0&amp;quot; /&amp;gt;_x000d__x000a_                &amp;lt;xs:element name=&amp;quot;DocumentChangeDate&amp;quot; type=&amp;quot;xs:dateTime&amp;quot; /&amp;gt;_x000d__x000a_                &amp;lt;xs:element name=&amp;quot;IsScanned&amp;quot; type=&amp;quot;xs:boolean&amp;quot; minOccurs=&amp;quot;0&amp;quot; /&amp;gt;_x000d__x000a_                &amp;lt;xs:element name=&amp;quot;DocumentScanningDate&amp;quot; type=&amp;quot;xs:dateTime&amp;quot; minOccurs=&amp;quot;0&amp;quot; /&amp;gt;_x000d__x000a_                &amp;lt;xs:element name=&amp;quot;PageQuantity&amp;quot; type=&amp;quot;xs:int&amp;quot; minOccurs=&amp;quot;0&amp;quot; /&amp;gt;_x000d__x000a_                &amp;lt;xs:element name=&amp;quot;DocumentStatusID&amp;quot; type=&amp;quot;xs:int&amp;quot; minOccurs=&amp;quot;0&amp;quot; /&amp;gt;_x000d__x000a_                &amp;lt;xs:element name=&amp;quot;DocumentStatusChangeDate&amp;quot; type=&amp;quot;xs:dateTime&amp;quot; minOccurs=&amp;quot;0&amp;quot; /&amp;gt;_x000d__x000a_                &amp;lt;xs:element name=&amp;quot;TemplateID&amp;quot; type=&amp;quot;xs:int&amp;quot; minOccurs=&amp;quot;0&amp;quot; /&amp;gt;_x000d__x000a_                &amp;lt;xs:element name=&amp;quot;TemplateVersionID&amp;quot; type=&amp;quot;xs:int&amp;quot; minOccurs=&amp;quot;0&amp;quot; /&amp;gt;_x000d__x000a_                &amp;lt;xs:element name=&amp;quot;DocumentChangeUserID&amp;quot; type=&amp;quot;xs:string&amp;quot; minOccurs=&amp;quot;0&amp;quot; /&amp;gt;_x000d__x000a_                &amp;lt;xs:element name=&amp;quot;DocumentCreationUserID&amp;quot; type=&amp;quot;xs:string&amp;quot; minOccurs=&amp;quot;0&amp;quot; /&amp;gt;_x000d__x000a_                &amp;lt;xs:element name=&amp;quot;OriginalDocumentID&amp;quot; type=&amp;quot;xs:int&amp;quot; minOccurs=&amp;quot;0&amp;quot; /&amp;gt;_x000d__x000a_                &amp;lt;xs:element name=&amp;quot;PrivillegeID&amp;quot; type=&amp;quot;xs:int&amp;quot; /&amp;gt;_x000d__x000a_                &amp;lt;xs:element name=&amp;quot;FromPage&amp;quot; type=&amp;quot;xs:int&amp;quot; default=&amp;quot;0&amp;quot; minOccurs=&amp;quot;0&amp;quot; /&amp;gt;_x000d__x000a_                &amp;lt;xs:element name=&amp;quot;ToPage&amp;quot; type=&amp;quot;xs:int&amp;quot; default=&amp;quot;0&amp;quot; minOccurs=&amp;quot;0&amp;quot; /&amp;gt;_x000d__x000a_                &amp;lt;xs:element name=&amp;quot;IsScannedWithoutEntity&amp;quot; type=&amp;quot;xs:boolean&amp;quot; minOccurs=&amp;quot;0&amp;quot; /&amp;gt;_x000d__x000a_                &amp;lt;xs:element name=&amp;quot;DocumentComment&amp;quot; type=&amp;quot;xs:string&amp;quot; minOccurs=&amp;quot;0&amp;quot; /&amp;gt;_x000d__x000a_                &amp;lt;xs:element name=&amp;quot;BoxNumber&amp;quot; type=&amp;quot;xs:string&amp;quot; minOccurs=&amp;quot;0&amp;quot; /&amp;gt;_x000d__x000a_                &amp;lt;xs:element name=&amp;quot;Archive&amp;quot; type=&amp;quot;xs:string&amp;quot; minOccurs=&amp;quot;0&amp;quot; /&amp;gt;_x000d__x000a_                &amp;lt;xs:element name=&amp;quot;CasePartyID&amp;quot; type=&amp;quot;xs:int&amp;quot; minOccurs=&amp;quot;0&amp;quot; /&amp;gt;_x000d__x000a_                &amp;lt;xs:element name=&amp;quot;FileID&amp;quot; type=&amp;quot;xs:string&amp;quot; minOccurs=&amp;quot;0&amp;quot; /&amp;gt;_x000d__x000a_                &amp;lt;xs:element name=&amp;quot;OriginalFileID&amp;quot; type=&amp;quot;xs:string&amp;quot; minOccurs=&amp;quot;0&amp;quot; /&amp;gt;_x000d__x000a_                &amp;lt;xs:element name=&amp;quot;CaseDisplayNumber&amp;quot; type=&amp;quot;xs:string&amp;quot; minOccurs=&amp;quot;0&amp;quot; /&amp;gt;_x000d__x000a_                &amp;lt;xs:element name=&amp;quot;URL&amp;quot; type=&amp;quot;xs:string&amp;quot; minOccurs=&amp;quot;0&amp;quot; /&amp;gt;_x000d__x000a_                &amp;lt;xs:element name=&amp;quot;SplittedNumberOfPages&amp;quot; type=&amp;quot;xs:int&amp;quot; minOccurs=&amp;quot;0&amp;quot; /&amp;gt;_x000d__x000a_                &amp;lt;xs:element name=&amp;quot;isOliveProcessed&amp;quot; type=&amp;quot;xs:boolean&amp;quot; minOccurs=&amp;quot;0&amp;quot; /&amp;gt;_x000d__x000a_                &amp;lt;xs:element name=&amp;quot;CasePartyDisplayName&amp;quot; type=&amp;quot;xs:string&amp;quot; minOccurs=&amp;quot;0&amp;quot; /&amp;gt;_x000d__x000a_                &amp;lt;xs:element name=&amp;quot;OlivePriority&amp;quot; type=&amp;quot;xs:int&amp;quot; default=&amp;quot;1&amp;quot; minOccurs=&amp;quot;0&amp;quot; /&amp;gt;_x000d__x000a_                &amp;lt;xs:element name=&amp;quot;PreFetchUrl&amp;quot; type=&amp;quot;xs:string&amp;quot; minOccurs=&amp;quot;0&amp;quot; /&amp;gt;_x000d__x000a_                &amp;lt;xs:element name=&amp;quot;DocumentCdImportID&amp;quot; type=&amp;quot;xs:string&amp;quot; minOccurs=&amp;quot;0&amp;quot; /&amp;gt;_x000d__x000a_                &amp;lt;xs:element name=&amp;quot;MetaDataTypeID&amp;quot; type=&amp;quot;xs:int&amp;quot; minOccurs=&amp;quot;0&amp;quot; /&amp;gt;_x000d__x000a_                &amp;lt;xs:element name=&amp;quot;MetaDataChangeDate&amp;quot; type=&amp;quot;xs:dateTime&amp;quot; minOccurs=&amp;quot;0&amp;quot; /&amp;gt;_x000d__x000a_                &amp;lt;xs:element name=&amp;quot;MetaData&amp;quot; type=&amp;quot;xs:string&amp;quot; minOccurs=&amp;quot;0&amp;quot; /&amp;gt;_x000d__x000a_                &amp;lt;xs:element name=&amp;quot;NewVersionRequired&amp;quot; type=&amp;quot;xs:boolean&amp;quot; minOccurs=&amp;quot;0&amp;quot; /&amp;gt;_x000d__x000a_                &amp;lt;xs:element name=&amp;quot;IsReturned&amp;quot; type=&amp;quot;xs:boolean&amp;quot; default=&amp;quot;false&amp;quot; /&amp;gt;_x000d__x000a_                &amp;lt;xs:element name=&amp;quot;SignatureURL&amp;quot; type=&amp;quot;xs:string&amp;quot; minOccurs=&amp;quot;0&amp;quot; /&amp;gt;_x000d__x000a_                &amp;lt;xs:element name=&amp;quot;IsCritical&amp;quot; type=&amp;quot;xs:boolean&amp;quot; default=&amp;quot;false&amp;quot; minOccurs=&amp;quot;0&amp;quot; /&amp;gt;_x000d__x000a_                &amp;lt;xs:element name=&amp;quot;IsEntityCanceled&amp;quot; type=&amp;quot;xs:boolean&amp;quot; default=&amp;quot;false&amp;quot; /&amp;gt;_x000d__x000a_                &amp;lt;xs:element name=&amp;quot;IsRepresentativeRegistryOpenToPublic&amp;quot; type=&amp;quot;xs:boolean&amp;quot; default=&amp;quot;false&amp;quot; minOccurs=&amp;quot;0&amp;quot; /&amp;gt;_x000d__x000a_                &amp;lt;xs:element name=&amp;quot;PresentationDate&amp;quot; type=&amp;quot;xs:dateTime&amp;quot; minOccurs=&amp;quot;0&amp;quot; /&amp;gt;_x000d__x000a_                &amp;lt;xs:element name=&amp;quot;IsIDCPublished&amp;quot; type=&amp;quot;xs:boolean&amp;quot; minOccurs=&amp;quot;0&amp;quot; /&amp;gt;_x000d__x000a_                &amp;lt;xs:element name=&amp;quot;IsDocumentPipexed&amp;quot; type=&amp;quot;xs:boolean&amp;quot; minOccurs=&amp;quot;0&amp;quot; /&amp;gt;_x000d__x000a_                &amp;lt;xs:element name=&amp;quot;ConvertToPdf&amp;quot; type=&amp;quot;xs:int&amp;quot; minOccurs=&amp;quot;0&amp;quot; /&amp;gt;_x000d__x000a_                &amp;lt;xs:element name=&amp;quot;PublishToIDC&amp;quot; type=&amp;quot;xs:int&amp;quot; minOccurs=&amp;quot;0&amp;quot; /&amp;gt;_x000d__x000a_                &amp;lt;xs:element name=&amp;quot;OCR&amp;quot; type=&amp;quot;xs:int&amp;quot; minOccurs=&amp;quot;0&amp;quot; /&amp;gt;_x000d__x000a_                &amp;lt;xs:element name=&amp;quot;DesicionPublish&amp;quot; type=&amp;quot;xs:int&amp;quot; minOccurs=&amp;quot;0&amp;quot; /&amp;gt;_x000d__x000a_                &amp;lt;xs:element name=&amp;quot;IsProof&amp;quot; type=&amp;quot;xs:int&amp;quot; minOccurs=&amp;quot;0&amp;quot; /&amp;gt;_x000d__x000a_                &amp;lt;xs:element name=&amp;quot;Summarization&amp;quot; type=&amp;quot;xs:int&amp;quot; minOccurs=&amp;quot;0&amp;quot; /&amp;gt;_x000d__x000a_                &amp;lt;xs:element name=&amp;quot;GetPunishmentData&amp;quot; type=&amp;quot;xs:int&amp;quot; minOccurs=&amp;quot;0&amp;quot; /&amp;gt;_x000d__x000a_                &amp;lt;xs:element name=&amp;quot;AutomaticallyDelivery&amp;quot; type=&amp;quot;xs:int&amp;quot; minOccurs=&amp;quot;0&amp;quot; /&amp;gt;_x000d__x000a_                &amp;lt;xs:element name=&amp;quot;Send2ELK&amp;quot; type=&amp;quot;xs:int&amp;quot; minOccurs=&amp;quot;0&amp;quot; /&amp;gt;_x000d__x000a_                &amp;lt;xs:element name=&amp;quot;TransportFineExtract&amp;quot; type=&amp;quot;xs:int&amp;quot; minOccurs=&amp;quot;0&amp;quot; /&amp;gt;_x000d__x000a_              &amp;lt;/xs:sequence&amp;gt;_x000d__x000a_            &amp;lt;/xs:complexType&amp;gt;_x000d__x000a_          &amp;lt;/xs:element&amp;gt;_x000d__x000a_          &amp;lt;xs:element name=&amp;quot;dt_DocumentNote&amp;quot;&amp;gt;_x000d__x000a_            &amp;lt;xs:complexType&amp;gt;_x000d__x000a_              &amp;lt;xs:sequence&amp;gt;_x000d__x000a_                &amp;lt;xs:element name=&amp;quot;DocumentNoteID&amp;quot; msdata:ReadOnly=&amp;quot;true&amp;quot; msdata:AutoIncrement=&amp;quot;true&amp;quot; msdata:AutoIncrementSeed=&amp;quot;-1&amp;quot; msdata:AutoIncrementStep=&amp;quot;-1&amp;quot; type=&amp;quot;xs:int&amp;quot; /&amp;gt;_x000d__x000a_                &amp;lt;xs:element name=&amp;quot;DocumentID&amp;quot; type=&amp;quot;xs:int&amp;quot; /&amp;gt;_x000d__x000a_                &amp;lt;xs:element name=&amp;quot;DocumentNoteCreateDate&amp;quot; type=&amp;quot;xs:dateTime&amp;quot; /&amp;gt;_x000d__x000a_                &amp;lt;xs:element name=&amp;quot;CreationUserID&amp;quot; type=&amp;quot;xs:string&amp;quot; /&amp;gt;_x000d__x000a_                &amp;lt;xs:element name=&amp;quot;DocumentNoteDesc&amp;quot; type=&amp;quot;xs:string&amp;quot; minOccurs=&amp;quot;0&amp;quot; /&amp;gt;_x000d__x000a_                &amp;lt;xs:element name=&amp;quot;DocumentNoteXML&amp;quot; type=&amp;quot;xs:string&amp;quot; minOccurs=&amp;quot;0&amp;quot; /&amp;gt;_x000d__x000a_                &amp;lt;xs:element name=&amp;quot;DescriptionPageNumber&amp;quot; type=&amp;quot;xs:int&amp;quot; minOccurs=&amp;quot;0&amp;quot; /&amp;gt;_x000d__x000a_                &amp;lt;xs:element name=&amp;quot;AccessTypeID&amp;quot; type=&amp;quot;xs:int&amp;quot; minOccurs=&amp;quot;0&amp;quot; /&amp;gt;_x000d__x000a_                &amp;lt;xs:element name=&amp;quot;NoteTypeID&amp;quot; type=&amp;quot;xs:int&amp;quot; minOccurs=&amp;quot;0&amp;quot; /&amp;gt;_x000d__x000a_                &amp;lt;xs:element name=&amp;quot;X1Location&amp;quot; type=&amp;quot;xs:decimal&amp;quot; /&amp;gt;_x000d__x000a_                &amp;lt;xs:element name=&amp;quot;X2Location&amp;quot; type=&amp;quot;xs:decimal&amp;quot; /&amp;gt;_x000d__x000a_                &amp;lt;xs:element name=&amp;quot;Y1Location&amp;quot; type=&amp;quot;xs:decimal&amp;quot; /&amp;gt;_x000d__x000a_                &amp;lt;xs:element name=&amp;quot;Y2Location&amp;quot; type=&amp;quot;xs:decimal&amp;quot; /&amp;gt;_x000d__x000a_                &amp;lt;xs:element name=&amp;quot;XmlContent&amp;quot; type=&amp;quot;xs:string&amp;quot; minOccurs=&amp;quot;0&amp;quot; /&amp;gt;_x000d__x000a_                &amp;lt;xs:element name=&amp;quot;X1RectLocation&amp;quot; type=&amp;quot;xs:decimal&amp;quot; /&amp;gt;_x000d__x000a_                &amp;lt;xs:element name=&amp;quot;X2RectLocation&amp;quot; type=&amp;quot;xs:decimal&amp;quot; /&amp;gt;_x000d__x000a_                &amp;lt;xs:element name=&amp;quot;Y1RectLocation&amp;quot; type=&amp;quot;xs:decimal&amp;quot; /&amp;gt;_x000d__x000a_                &amp;lt;xs:element name=&amp;quot;Y2RectLocation&amp;quot; type=&amp;quot;xs:decimal&amp;quot; /&amp;gt;_x000d__x000a_                &amp;lt;xs:element name=&amp;quot;IsPopupOpen&amp;quot; type=&amp;quot;xs:boolean&amp;quot; /&amp;gt;_x000d__x000a_                &amp;lt;xs:element name=&amp;quot;CDATA&amp;quot; type=&amp;quot;xs:string&amp;quot; minOccurs=&amp;quot;0&amp;quot; /&amp;gt;_x000d__x000a_                &amp;lt;xs:element name=&amp;quot;Title&amp;quot; type=&amp;quot;xs:string&amp;quot; minOccurs=&amp;quot;0&amp;quot; /&amp;gt;_x000d__x000a_                &amp;lt;xs:element name=&amp;quot;Page&amp;quot; type=&amp;quot;xs:int&amp;quot; minOccurs=&amp;quot;0&amp;quot; /&amp;gt;_x000d__x000a_                &amp;lt;xs:element name=&amp;quot;IsVisiable&amp;quot; type=&amp;quot;xs:boolean&amp;quot; default=&amp;quot;false&amp;quot; /&amp;gt;_x000d__x000a_                &amp;lt;xs:element name=&amp;quot;ActivityStatusID&amp;quot; type=&amp;quot;xs:int&amp;quot; default=&amp;quot;1&amp;quot; /&amp;gt;_x000d__x000a_                &amp;lt;xs:element name=&amp;quot;NoteCaseTitle&amp;quot; type=&amp;quot;xs:string&amp;quot; minOccurs=&amp;quot;0&amp;quot; /&amp;gt;_x000d__x000a_                &amp;lt;xs:element name=&amp;quot;NoteComposerTitle&amp;quot; type=&amp;quot;xs:string&amp;quot; minOccurs=&amp;quot;0&amp;quot; /&amp;gt;_x000d__x000a_                &amp;lt;xs:element name=&amp;quot;NoteZoom&amp;quot; type=&amp;quot;xs:decimal&amp;quot; minOccurs=&amp;quot;0&amp;quot; /&amp;gt;_x000d__x000a_              &amp;lt;/xs:sequence&amp;gt;_x000d__x000a_            &amp;lt;/xs:complexType&amp;gt;_x000d__x000a_          &amp;lt;/xs:element&amp;gt;_x000d__x000a_          &amp;lt;xs:element name=&amp;quot;dt_MLDocsAnalysisPunishment&amp;quot;&amp;gt;_x000d__x000a_            &amp;lt;xs:complexType&amp;gt;_x000d__x000a_              &amp;lt;xs:sequence&amp;gt;_x000d__x000a_                &amp;lt;xs:element name=&amp;quot;MLDocsAnalysisPunishmentID&amp;quot; msdata:AutoIncrement=&amp;quot;true&amp;quot; msdata:AutoIncrementSeed=&amp;quot;-1&amp;quot; msdata:AutoIncrementStep=&amp;quot;-1&amp;quot; type=&amp;quot;xs:int&amp;quot; /&amp;gt;_x000d__x000a_                &amp;lt;xs:element name=&amp;quot;MLDocsAnalysisID&amp;quot; type=&amp;quot;xs:int&amp;quot; /&amp;gt;_x000d__x000a_                &amp;lt;xs:element name=&amp;quot;FileID&amp;quot; type=&amp;quot;xs:string&amp;quot; /&amp;gt;_x000d__x000a_                &amp;lt;xs:element name=&amp;quot;DocumentID&amp;quot; type=&amp;quot;xs:int&amp;quot; /&amp;gt;_x000d__x000a_                &amp;lt;xs:element name=&amp;quot;PunishmentType&amp;quot; type=&amp;quot;xs:int&amp;quot; /&amp;gt;_x000d__x000a_                &amp;lt;xs:element name=&amp;quot;Result&amp;quot; type=&amp;quot;xs:string&amp;quot; minOccurs=&amp;quot;0&amp;quot; /&amp;gt;_x000d__x000a_              &amp;lt;/xs:sequence&amp;gt;_x000d__x000a_            &amp;lt;/xs:complexType&amp;gt;_x000d__x000a_          &amp;lt;/xs:element&amp;gt;_x000d__x000a_          &amp;lt;xs:element name=&amp;quot;dt_DocumentSummaryVersion&amp;quot;&amp;gt;_x000d__x000a_            &amp;lt;xs:complexType&amp;gt;_x000d__x000a_              &amp;lt;xs:sequence&amp;gt;_x000d__x000a_                &amp;lt;xs:element name=&amp;quot;DocumentID&amp;quot; type=&amp;quot;xs:int&amp;quot; minOccurs=&amp;quot;0&amp;quot; /&amp;gt;_x000d__x000a_                &amp;lt;xs:element name=&amp;quot;DocumentChangeDate&amp;quot; type=&amp;quot;xs:dateTime&amp;quot; minOccurs=&amp;quot;0&amp;quot; /&amp;gt;_x000d__x000a_                &amp;lt;xs:element name=&amp;quot;DocumentDesc&amp;quot; type=&amp;quot;xs:string&amp;quot; minOccurs=&amp;quot;0&amp;quot; /&amp;gt;_x000d__x000a_                &amp;lt;xs:element name=&amp;quot;IsCritical&amp;quot; type=&amp;quot;xs:boolean&amp;quot; minOccurs=&amp;quot;0&amp;quot; /&amp;gt;_x000d__x000a_                &amp;lt;xs:element name=&amp;quot;IsScanned&amp;quot; type=&amp;quot;xs:boolean&amp;quot; minOccurs=&amp;quot;0&amp;quot; /&amp;gt;_x000d__x000a_              &amp;lt;/xs:sequence&amp;gt;_x000d__x000a_            &amp;lt;/xs:complexType&amp;gt;_x000d__x000a_          &amp;lt;/xs:element&amp;gt;_x000d__x000a_        &amp;lt;/xs:choice&amp;gt;_x000d__x000a_      &amp;lt;/xs:complexType&amp;gt;_x000d__x000a_      &amp;lt;xs:unique name=&amp;quot;Constraint1&amp;quot; msdata:PrimaryKey=&amp;quot;true&amp;quot;&amp;gt;_x000d__x000a_        &amp;lt;xs:selector xpath=&amp;quot;.//mstns:dt_DocumentCase&amp;quot; /&amp;gt;_x000d__x000a_        &amp;lt;xs:field xpath=&amp;quot;mstns:CaseID&amp;quot; /&amp;gt;_x000d__x000a_        &amp;lt;xs:field xpath=&amp;quot;mstns:DocumentID&amp;quot; /&amp;gt;_x000d__x000a_      &amp;lt;/xs:unique&amp;gt;_x000d__x000a_      &amp;lt;xs:unique name=&amp;quot;dt_Bookmark_Constraint1&amp;quot; msdata:ConstraintName=&amp;quot;Constraint1&amp;quot; msdata:PrimaryKey=&amp;quot;true&amp;quot;&amp;gt;_x000d__x000a_        &amp;lt;xs:selector xpath=&amp;quot;.//mstns:dt_Bookmark&amp;quot; /&amp;gt;_x000d__x000a_        &amp;lt;xs:field xpath=&amp;quot;mstns:BookmarkID&amp;quot; /&amp;gt;_x000d__x000a_      &amp;lt;/xs:unique&amp;gt;_x000d__x000a_      &amp;lt;xs:unique name=&amp;quot;dt_Document_Constraint1&amp;quot; msdata:ConstraintName=&amp;quot;Constraint1&amp;quot; msdata:PrimaryKey=&amp;quot;true&amp;quot;&amp;gt;_x000d__x000a_        &amp;lt;xs:selector xpath=&amp;quot;.//mstns:dt_Document&amp;quot; /&amp;gt;_x000d__x000a_        &amp;lt;xs:field xpath=&amp;quot;mstns:DocumentID&amp;quot; /&amp;gt;_x000d__x000a_      &amp;lt;/xs:unique&amp;gt;_x000d__x000a_      &amp;lt;xs:unique name=&amp;quot;DocumentDSKey1&amp;quot; msdata:PrimaryKey=&amp;quot;true&amp;quot;&amp;gt;_x000d__x000a_        &amp;lt;xs:selector xpath=&amp;quot;.//mstns:dt_DocumentNote&amp;quot; /&amp;gt;_x000d__x000a_        &amp;lt;xs:field xpath=&amp;quot;mstns:DocumentNoteID&amp;quot; /&amp;gt;_x000d__x000a_      &amp;lt;/xs:unique&amp;gt;_x000d__x000a_      &amp;lt;xs:keyref name=&amp;quot;dt_Documentdt_DocumentNote&amp;quot; refer=&amp;quot;dt_Document_Constraint1&amp;quot;&amp;gt;_x000d__x000a_        &amp;lt;xs:selector xpath=&amp;quot;.//mstns:dt_DocumentNote&amp;quot; /&amp;gt;_x000d__x000a_        &amp;lt;xs:field xpath=&amp;quot;mstns:DocumentID&amp;quot; /&amp;gt;_x000d__x000a_      &amp;lt;/xs:keyref&amp;gt;_x000d__x000a_      &amp;lt;xs:keyref name=&amp;quot;dt_Documentdt_Bookmark&amp;quot; refer=&amp;quot;dt_Document_Constraint1&amp;quot;&amp;gt;_x000d__x000a_        &amp;lt;xs:selector xpath=&amp;quot;.//mstns:dt_Bookmark&amp;quot; /&amp;gt;_x000d__x000a_        &amp;lt;xs:field xpath=&amp;quot;mstns:DocumentID&amp;quot; /&amp;gt;_x000d__x000a_      &amp;lt;/xs:keyref&amp;gt;_x000d__x000a_      &amp;lt;xs:keyref name=&amp;quot;dt_Documentdt_DocumentCase&amp;quot; refer=&amp;quot;dt_Document_Constraint1&amp;quot;&amp;gt;_x000d__x000a_        &amp;lt;xs:selector xpath=&amp;quot;.//mstns:dt_DocumentCase&amp;quot; /&amp;gt;_x000d__x000a_        &amp;lt;xs:field xpath=&amp;quot;mstns:DocumentID&amp;quot; /&amp;gt;_x000d__x000a_      &amp;lt;/xs:keyref&amp;gt;_x000d__x000a_    &amp;lt;/xs:element&amp;gt;_x000d__x000a_    &amp;lt;xs:annotation&amp;gt;_x000d__x000a_      &amp;lt;xs:appinfo&amp;gt;_x000d__x000a_        &amp;lt;msdata:Relationship name=&amp;quot;dt_Document_dt_DocumentSummaryVersion&amp;quot; msdata:parent=&amp;quot;dt_Document&amp;quot; msdata:child=&amp;quot;dt_DocumentSummaryVersion&amp;quot; msdata:parentkey=&amp;quot;OriginalDocumentID&amp;quot; msdata:childkey=&amp;quot;DocumentID&amp;quot; /&amp;gt;_x000d__x000a_      &amp;lt;/xs:appinfo&amp;gt;_x000d__x000a_    &amp;lt;/xs:annotation&amp;gt;_x000d__x000a_  &amp;lt;/xs:schema&amp;gt;_x000d__x000a_  &amp;lt;diffgr:diffgram xmlns:msdata=&amp;quot;urn:schemas-microsoft-com:xml-msdata&amp;quot; xmlns:diffgr=&amp;quot;urn:schemas-microsoft-com:xml-diffgram-v1&amp;quot;&amp;gt;_x000d__x000a_    &amp;lt;DocumentDS xmlns=&amp;quot;http://www.tempuri.org/DocumentDS.xsd&amp;quot;&amp;gt;_x000d__x000a_      &amp;lt;dt_DocumentCase diffgr:id=&amp;quot;dt_DocumentCase1&amp;quot; msdata:rowOrder=&amp;quot;0&amp;quot;&amp;gt;_x000d__x000a_        &amp;lt;CaseID&amp;gt;75102585&amp;lt;/CaseID&amp;gt;_x000d__x000a_        &amp;lt;DocumentID&amp;gt;408661754&amp;lt;/DocumentID&amp;gt;_x000d__x000a_      &amp;lt;/dt_DocumentCase&amp;gt;_x000d__x000a_      &amp;lt;dt_Document diffgr:id=&amp;quot;dt_Document1&amp;quot; msdata:rowOrder=&amp;quot;0&amp;quot; diffgr:hasChanges=&amp;quot;modified&amp;quot;&amp;gt;_x000d__x000a_        &amp;lt;DocumentID&amp;gt;408661754&amp;lt;/DocumentID&amp;gt;_x000d__x000a_        &amp;lt;DocumentMainID&amp;gt;0&amp;lt;/DocumentMainID&amp;gt;_x000d__x000a_        &amp;lt;CaseID&amp;gt;75102585&amp;lt;/CaseID&amp;gt;_x000d__x000a_        &amp;lt;DocumentIncludedDate&amp;gt;2023-04-20T11:11:28.13+03:00&amp;lt;/DocumentIncludedDate&amp;gt;_x000d__x000a_        &amp;lt;DocumentDesc&amp;gt;פסק דין  שניתנה ע&amp;quot;י  אליעד וינשל&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4-20T11:11:28.13+03:00&amp;lt;/DocumentSavingDate&amp;gt;_x000d__x000a_        &amp;lt;DocumentChangeDate&amp;gt;2023-04-25T09:28:17.947+03:00&amp;lt;/DocumentChangeDate&amp;gt;_x000d__x000a_        &amp;lt;IsScanned&amp;gt;false&amp;lt;/IsScanned&amp;gt;_x000d__x000a_        &amp;lt;PageQuantity&amp;gt;0&amp;lt;/PageQuantity&amp;gt;_x000d__x000a_        &amp;lt;DocumentStatusID&amp;gt;2&amp;lt;/DocumentStatusID&amp;gt;_x000d__x000a_        &amp;lt;DocumentStatusChangeDate&amp;gt;2023-04-20T11:11:28.253+03:00&amp;lt;/DocumentStatusChangeDate&amp;gt;_x000d__x000a_        &amp;lt;TemplateVersionID&amp;gt;1&amp;lt;/TemplateVersionID&amp;gt;_x000d__x000a_        &amp;lt;DocumentChangeUserID&amp;gt;027238666@GOV.IL&amp;lt;/DocumentChangeUserID&amp;gt;_x000d__x000a_        &amp;lt;DocumentCreationUserID&amp;gt;207074741@GOV.IL&amp;lt;/DocumentCreationUserID&amp;gt;_x000d__x000a_        &amp;lt;OriginalDocumentID&amp;gt;406702728&amp;lt;/OriginalDocumentID&amp;gt;_x000d__x000a_        &amp;lt;PrivillegeID&amp;gt;2&amp;lt;/PrivillegeID&amp;gt;_x000d__x000a_        &amp;lt;FromPage&amp;gt;0&amp;lt;/FromPage&amp;gt;_x000d__x000a_        &amp;lt;ToPage&amp;gt;0&amp;lt;/ToPage&amp;gt;_x000d__x000a_        &amp;lt;FileID&amp;gt;c8e8b79d87010000090037f6a654ae3c&amp;lt;/FileID&amp;gt;_x000d__x000a_        &amp;lt;CaseDisplayNumber&amp;gt;55543-12-17&amp;lt;/CaseDisplayNumber&amp;gt;_x000d__x000a_        &amp;lt;URL&amp;gt;\\CTLNFSV02\doc_repository\194\691\c8e8b79d87010000090037f6a654ae3c.docx&amp;lt;/URL&amp;gt;_x000d__x000a_        &amp;lt;OlivePriority&amp;gt;1&amp;lt;/OlivePriority&amp;gt;_x000d__x000a_        &amp;lt;MetaDataTypeID&amp;gt;1&amp;lt;/MetaDataTypeID&amp;gt;_x000d__x000a_        &amp;lt;MetaDataChangeDate&amp;gt;2023-04-20T11:11:28.25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אליעד וינשל&amp;amp;lt;/anyType&amp;amp;gt;_x000d__x000a_    &amp;amp;lt;anyType xsi:type=&amp;quot;xsd:dateTime&amp;quot;&amp;amp;gt;2023-03-26T11:42:23.224379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3-26T11:42:23.223+03:00&amp;lt;/PresentationDate&amp;gt;_x000d__x000a_      &amp;lt;/dt_Document&amp;gt;_x000d__x000a_    &amp;lt;/DocumentDS&amp;gt;_x000d__x000a_    &amp;lt;diffgr:before&amp;gt;_x000d__x000a_      &amp;lt;dt_Document diffgr:id=&amp;quot;dt_Document1&amp;quot; msdata:rowOrder=&amp;quot;0&amp;quot; xmlns=&amp;quot;http://www.tempuri.org/DocumentDS.xsd&amp;quot;&amp;gt;_x000d__x000a_        &amp;lt;DocumentID&amp;gt;408661754&amp;lt;/DocumentID&amp;gt;_x000d__x000a_        &amp;lt;DocumentMainID&amp;gt;0&amp;lt;/DocumentMainID&amp;gt;_x000d__x000a_        &amp;lt;CaseID&amp;gt;75102585&amp;lt;/CaseID&amp;gt;_x000d__x000a_        &amp;lt;DocumentIncludedDate&amp;gt;2023-04-20T11:11:28.13+03:00&amp;lt;/DocumentIncludedDate&amp;gt;_x000d__x000a_        &amp;lt;DocumentDesc&amp;gt;פסק דין  שניתנה ע&amp;quot;י  אליעד וינשל&amp;lt;/DocumentDesc&amp;gt;_x000d__x000a_        &amp;lt;DocumentDirectionID&amp;gt;2&amp;lt;/DocumentDirectionID&amp;gt;_x000d__x000a_        &amp;lt;SourceID&amp;gt;1&amp;lt;/SourceID&amp;gt;_x000d__x000a_        &amp;lt;VersionNumber&amp;gt;1&amp;lt;/VersionNumber&amp;gt;_x000d__x000a_        &amp;lt;DocumentVersionTypeID&amp;gt;2&amp;lt;/DocumentVersionTypeID&amp;gt;_x000d__x000a_        &amp;lt;IsAttachment&amp;gt;false&amp;lt;/IsAttachment&amp;gt;_x000d__x000a_        &amp;lt;AttachmentOrdinalNumber&amp;gt;0&amp;lt;/AttachmentOrdinalNumber&amp;gt;_x000d__x000a_        &amp;lt;DocumentTypeID&amp;gt;73&amp;lt;/DocumentTypeID&amp;gt;_x000d__x000a_        &amp;lt;DocumentSavingDate&amp;gt;2023-04-20T11:11:28.13+03:00&amp;lt;/DocumentSavingDate&amp;gt;_x000d__x000a_        &amp;lt;DocumentChangeDate&amp;gt;2023-04-25T09:28:17.947+03:00&amp;lt;/DocumentChangeDate&amp;gt;_x000d__x000a_        &amp;lt;IsScanned&amp;gt;false&amp;lt;/IsScanned&amp;gt;_x000d__x000a_        &amp;lt;PageQuantity&amp;gt;0&amp;lt;/PageQuantity&amp;gt;_x000d__x000a_        &amp;lt;DocumentStatusID&amp;gt;2&amp;lt;/DocumentStatusID&amp;gt;_x000d__x000a_        &amp;lt;DocumentStatusChangeDate&amp;gt;2023-04-20T11:11:28.253+03:00&amp;lt;/DocumentStatusChangeDate&amp;gt;_x000d__x000a_        &amp;lt;TemplateVersionID&amp;gt;1&amp;lt;/TemplateVersionID&amp;gt;_x000d__x000a_        &amp;lt;DocumentChangeUserID&amp;gt;027238666@GOV.IL&amp;lt;/DocumentChangeUserID&amp;gt;_x000d__x000a_        &amp;lt;DocumentCreationUserID&amp;gt;207074741@GOV.IL&amp;lt;/DocumentCreationUserID&amp;gt;_x000d__x000a_        &amp;lt;OriginalDocumentID&amp;gt;406702728&amp;lt;/OriginalDocumentID&amp;gt;_x000d__x000a_        &amp;lt;PrivillegeID&amp;gt;2&amp;lt;/PrivillegeID&amp;gt;_x000d__x000a_        &amp;lt;FromPage&amp;gt;0&amp;lt;/FromPage&amp;gt;_x000d__x000a_        &amp;lt;ToPage&amp;gt;0&amp;lt;/ToPage&amp;gt;_x000d__x000a_        &amp;lt;FileID&amp;gt;c8e8b79d87010000090037f6a654ae3c&amp;lt;/FileID&amp;gt;_x000d__x000a_        &amp;lt;CaseDisplayNumber&amp;gt;55543-12-17&amp;lt;/CaseDisplayNumber&amp;gt;_x000d__x000a_        &amp;lt;URL /&amp;gt;_x000d__x000a_        &amp;lt;OlivePriority&amp;gt;1&amp;lt;/OlivePriority&amp;gt;_x000d__x000a_        &amp;lt;MetaDataTypeID&amp;gt;1&amp;lt;/MetaDataTypeID&amp;gt;_x000d__x000a_        &amp;lt;MetaDataChangeDate&amp;gt;2023-04-20T11:11:28.253+03:00&amp;lt;/MetaDataChangeDate&amp;gt;_x000d__x000a_        &amp;lt;MetaData&amp;gt;&amp;amp;lt;?xml version=&amp;quot;1.0&amp;quot; encoding=&amp;quot;utf-16&amp;quot;?&amp;amp;gt;_x000d__x000a_&amp;amp;lt;MetaDataSerializableObject xmlns:xsd=&amp;quot;http://www.w3.org/2001/XMLSchema&amp;quot; xmlns:xsi=&amp;quot;http://www.w3.org/2001/XMLSchema-instance&amp;quot;&amp;amp;gt;_x000d__x000a_  &amp;amp;lt;_keys&amp;amp;gt;_x000d__x000a_    &amp;amp;lt;string&amp;amp;gt;decisionType&amp;amp;lt;/string&amp;amp;gt;_x000d__x000a_    &amp;amp;lt;string&amp;amp;gt;technicalDecision&amp;amp;lt;/string&amp;amp;gt;_x000d__x000a_    &amp;amp;lt;string&amp;amp;gt;judgeName&amp;amp;lt;/string&amp;amp;gt;_x000d__x000a_    &amp;amp;lt;string&amp;amp;gt;decisionDate&amp;amp;lt;/string&amp;amp;gt;_x000d__x000a_  &amp;amp;lt;/_keys&amp;amp;gt;_x000d__x000a_  &amp;amp;lt;_values&amp;amp;gt;_x000d__x000a_    &amp;amp;lt;anyType xsi:type=&amp;quot;xsd:string&amp;quot;&amp;amp;gt;2&amp;amp;lt;/anyType&amp;amp;gt;_x000d__x000a_    &amp;amp;lt;anyType xsi:type=&amp;quot;xsd:string&amp;quot;&amp;amp;gt;1&amp;amp;lt;/anyType&amp;amp;gt;_x000d__x000a_    &amp;amp;lt;anyType xsi:type=&amp;quot;xsd:string&amp;quot;&amp;amp;gt;אליעד וינשל&amp;amp;lt;/anyType&amp;amp;gt;_x000d__x000a_    &amp;amp;lt;anyType xsi:type=&amp;quot;xsd:dateTime&amp;quot;&amp;amp;gt;2023-03-26T11:42:23.2243798&amp;amp;lt;/anyType&amp;amp;gt;_x000d__x000a_  &amp;amp;lt;/_values&amp;amp;gt;_x000d__x000a_&amp;amp;lt;/MetaDataSerializableObject&amp;amp;gt;&amp;lt;/MetaData&amp;gt;_x000d__x000a_        &amp;lt;IsReturned&amp;gt;false&amp;lt;/IsReturned&amp;gt;_x000d__x000a_        &amp;lt;IsCritical&amp;gt;true&amp;lt;/IsCritical&amp;gt;_x000d__x000a_        &amp;lt;IsEntityCanceled&amp;gt;false&amp;lt;/IsEntityCanceled&amp;gt;_x000d__x000a_        &amp;lt;IsRepresentativeRegistryOpenToPublic&amp;gt;false&amp;lt;/IsRepresentativeRegistryOpenToPublic&amp;gt;_x000d__x000a_        &amp;lt;PresentationDate&amp;gt;2023-03-26T11:42:23.223+03:00&amp;lt;/PresentationDate&amp;gt;_x000d__x000a_      &amp;lt;/dt_Document&amp;gt;_x000d__x000a_    &amp;lt;/diffgr:before&amp;gt;_x000d__x000a_  &amp;lt;/diffgr:diffgram&amp;gt;_x000d__x000a_&amp;lt;/DocumentDS&amp;gt;"/>
    <w:docVar w:name="WordClientAssemblyName" w:val="NGCS.Decision.ClientWordBL"/>
    <w:docVar w:name="WordClientClassName" w:val="NGCS.Decision.ClientWordBL.VersionWordClient"/>
  </w:docVars>
  <w:rsids>
    <w:rsidRoot w:val="00694556"/>
    <w:rsid w:val="00000062"/>
    <w:rsid w:val="0000226B"/>
    <w:rsid w:val="00005C8B"/>
    <w:rsid w:val="000529D2"/>
    <w:rsid w:val="000564AB"/>
    <w:rsid w:val="00063B08"/>
    <w:rsid w:val="00064FBD"/>
    <w:rsid w:val="00082779"/>
    <w:rsid w:val="00082AB2"/>
    <w:rsid w:val="000906FE"/>
    <w:rsid w:val="00096AF7"/>
    <w:rsid w:val="000B344B"/>
    <w:rsid w:val="000C3B0F"/>
    <w:rsid w:val="000C3B60"/>
    <w:rsid w:val="000D0E37"/>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2F0F2F"/>
    <w:rsid w:val="00307A6A"/>
    <w:rsid w:val="00307C40"/>
    <w:rsid w:val="00316007"/>
    <w:rsid w:val="00320433"/>
    <w:rsid w:val="003230C7"/>
    <w:rsid w:val="00327E50"/>
    <w:rsid w:val="0033597A"/>
    <w:rsid w:val="00343D89"/>
    <w:rsid w:val="00362612"/>
    <w:rsid w:val="0036743F"/>
    <w:rsid w:val="003715DD"/>
    <w:rsid w:val="003823E0"/>
    <w:rsid w:val="003A4521"/>
    <w:rsid w:val="003D1C8C"/>
    <w:rsid w:val="003E38C7"/>
    <w:rsid w:val="0040096C"/>
    <w:rsid w:val="00413A8E"/>
    <w:rsid w:val="00414F1F"/>
    <w:rsid w:val="0043125D"/>
    <w:rsid w:val="0043502B"/>
    <w:rsid w:val="004443AC"/>
    <w:rsid w:val="00444B02"/>
    <w:rsid w:val="00451E28"/>
    <w:rsid w:val="00462C62"/>
    <w:rsid w:val="00465D36"/>
    <w:rsid w:val="004C17EE"/>
    <w:rsid w:val="004C3D00"/>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E1D87"/>
    <w:rsid w:val="005F4F09"/>
    <w:rsid w:val="00603F73"/>
    <w:rsid w:val="006056B2"/>
    <w:rsid w:val="0061431B"/>
    <w:rsid w:val="00622BAA"/>
    <w:rsid w:val="00624885"/>
    <w:rsid w:val="006306CF"/>
    <w:rsid w:val="00644E9A"/>
    <w:rsid w:val="0064671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0B33"/>
    <w:rsid w:val="008A6E97"/>
    <w:rsid w:val="008C5714"/>
    <w:rsid w:val="008D10B2"/>
    <w:rsid w:val="00903896"/>
    <w:rsid w:val="00906F3D"/>
    <w:rsid w:val="0094424E"/>
    <w:rsid w:val="00955642"/>
    <w:rsid w:val="009622DF"/>
    <w:rsid w:val="0096493F"/>
    <w:rsid w:val="00967DFF"/>
    <w:rsid w:val="00994341"/>
    <w:rsid w:val="009C3874"/>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0186"/>
    <w:rsid w:val="00C770E3"/>
    <w:rsid w:val="00C93468"/>
    <w:rsid w:val="00CA34D6"/>
    <w:rsid w:val="00CC1887"/>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2235"/>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C56CC"/>
    <w:rsid w:val="00FD1419"/>
    <w:rsid w:val="00FD79E4"/>
    <w:rsid w:val="00FE2894"/>
    <w:rsid w:val="00FF1D93"/>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uiPriority w:val="99"/>
    <w:semiHidden/>
    <w:unhideWhenUsed/>
    <w:rsid w:val="004C3D00"/>
    <w:rPr>
      <w:color w:val="0000FF"/>
      <w:u w:val="single"/>
    </w:rPr>
  </w:style>
  <w:style w:type="paragraph" w:styleId="ad">
    <w:name w:val="List Paragraph"/>
    <w:basedOn w:val="a"/>
    <w:qFormat/>
    <w:rsid w:val="004C3D00"/>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0662908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nevo.co.il/psika_html/mechozi/m97001244.htm" TargetMode="External"/><Relationship Id="rId13" Type="http://schemas.openxmlformats.org/officeDocument/2006/relationships/hyperlink" Target="http://www.nevo.co.il/case/6157424"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evo.co.il/case/230293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case/5573046"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nevo.co.il/case/1791592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evo.co.il/psika_html/mechozi/m97001244.htm" TargetMode="Externa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BB4385" w:rsidP="00BB4385">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817811" w:rsidP="00817811">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817811" w:rsidP="00817811">
          <w:pPr>
            <w:pStyle w:val="F5EF4663D5094D57BB3FEC6B89CF5C8E3"/>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817811" w:rsidP="00817811">
          <w:pPr>
            <w:pStyle w:val="7D8E46D2581B4CD9ACC623ACA7D52F753"/>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817811" w:rsidP="00817811">
          <w:pPr>
            <w:pStyle w:val="C3B0FBA23B684176B12DDEEA2C39785F3"/>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haroni">
    <w:panose1 w:val="02010803020104030203"/>
    <w:charset w:val="00"/>
    <w:family w:val="auto"/>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2D02C4"/>
    <w:rsid w:val="00345C9D"/>
    <w:rsid w:val="0048651F"/>
    <w:rsid w:val="005157ED"/>
    <w:rsid w:val="005171E8"/>
    <w:rsid w:val="0055292B"/>
    <w:rsid w:val="00556D67"/>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B4385"/>
    <w:rsid w:val="00BD532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B4385"/>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B438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5427</Words>
  <Characters>27138</Characters>
  <Application>Microsoft Office Word</Application>
  <DocSecurity>0</DocSecurity>
  <Lines>226</Lines>
  <Paragraphs>64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2023-04-30T09:25:00Z</dcterms:created>
  <dcterms:modified xsi:type="dcterms:W3CDTF">2023-04-30T09:25:00Z</dcterms:modified>
</cp:coreProperties>
</file>